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UmweltHG — Mitverschulden</w:t>
      </w:r>
    </w:p>
    <w:p>
      <w:r>
        <w:rPr>
          <w:color w:val="555555"/>
          <w:sz w:val="18"/>
        </w:rPr>
        <w:t xml:space="preserve">Umwelthaftungsgesetz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Hat bei der Entstehung des Schadens ein Verschulden des Geschädigten mitgewirkt, so gilt § 254 des Bürgerlichen Gesetzbuchs; im Falle der Sachbeschädigung steht das Verschulden desjenigen, der die tatsächliche Gewalt über die Sache ausübt, dem Verschulden des Geschädigten gleich.</w:t>
      </w:r>
    </w:p>
    <w:p>
      <w:r>
        <w:rPr>
          <w:color w:val="555555"/>
          <w:sz w:val="17"/>
        </w:rPr>
        <w:t xml:space="preserve">Zitiervorschlag: § 11 UmweltHG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https://recht.nulegal.eu/gesetze/UmweltHG/11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