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UmwStG2006§27Abs15V — Inkrafttreten</w:t>
      </w:r>
    </w:p>
    <w:p>
      <w:r>
        <w:rPr>
          <w:color w:val="555555"/>
          <w:sz w:val="18"/>
        </w:rPr>
        <w:t xml:space="preserve">Verordnung zu § 27 Absatz 15 des Umwandlungssteuergesetzes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</w:t>
      </w:r>
    </w:p>
    <w:p>
      <w:r>
        <w:rPr>
          <w:color w:val="555555"/>
          <w:sz w:val="17"/>
        </w:rPr>
        <w:t xml:space="preserve">Zitiervorschlag: § 2 UmwStG2006§27Abs15V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https://recht.nulegal.eu/gesetze/UmwStG2006%C2%A727Abs15V/2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