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UmwStG 2006 — Formwechsel in eine Personengesellschaft</w:t>
      </w:r>
    </w:p>
    <w:p>
      <w:r>
        <w:rPr>
          <w:color w:val="555555"/>
          <w:sz w:val="18"/>
        </w:rPr>
        <w:t xml:space="preserve">Umwandlungssteuergesetz</w:t>
      </w:r>
    </w:p>
    <w:p>
      <w:r>
        <w:rPr>
          <w:color w:val="555555"/>
          <w:sz w:val="18"/>
        </w:rPr>
        <w:t xml:space="preserve">Stand: 09.06.2021 (konsolidierte Textfassung, kein amtliches Inkrafttretensdatum)</w:t>
      </w:r>
    </w:p>
    <w:p>
      <w:r>
        <w:t xml:space="preserve">Im Falle des Formwechsels einer Kapitalgesellschaft in eine Personengesellschaft sind die §§ 3 bis 8 und 10 entsprechend anzuwenden. Die Kapitalgesellschaft hat für steuerliche Zwecke auf den Zeitpunkt, in dem der Formwechsel wirksam wird, eine Übertragungsbilanz, die Personengesellschaft eine Eröffnungsbilanz aufzustellen. Die Bilanzen nach Satz 2 können auch für einen Stichtag aufgestellt werden, der höchstens acht Monate vor der Anmeldung des Formwechsels zur Eintragung in ein öffentliches Register liegt (Übertragungsstichtag); § 2 Absatz 3 bis 5 gilt entsprechend.</w:t>
      </w:r>
    </w:p>
    <w:p>
      <w:r>
        <w:rPr>
          <w:color w:val="555555"/>
          <w:sz w:val="17"/>
        </w:rPr>
        <w:t xml:space="preserve">Zitiervorschlag: § 9 UmwStG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https://recht.nulegal.eu/gesetze/UmwStG%202006/9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UmwStG 2006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