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UmwStG 2006 — Vermögensübergang auf einen Rechtsträger ohne Betriebsvermögen</w:t>
      </w:r>
    </w:p>
    <w:p>
      <w:r>
        <w:rPr>
          <w:color w:val="555555"/>
          <w:sz w:val="18"/>
        </w:rPr>
        <w:t xml:space="preserve">Umwandlungssteuergesetz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Wird das übertragene Vermögen nicht Betriebsvermögen des übernehmenden Rechtsträgers, sind die infolge des Vermögensübergangs entstehenden Einkünfte bei diesem oder den Gesellschaftern des übernehmenden Rechtsträgers zu ermitteln. Die §§ 4, 5 und 7 gelten entsprechend.</w:t>
      </w:r>
    </w:p>
    <w:p>
      <w:r>
        <w:t xml:space="preserve">(2) In den Fällen des Absatzes 1 sind § 17 Abs. 3 und § 22 Nr. 2 des Einkommensteuergesetzes nicht anzuwenden.</w:t>
      </w:r>
    </w:p>
    <w:p>
      <w:r>
        <w:rPr>
          <w:color w:val="555555"/>
          <w:sz w:val="17"/>
        </w:rPr>
        <w:t xml:space="preserve">Zitiervorschlag: § 8 UmwStG 2006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https://recht.nulegal.eu/gesetze/UmwStG%202006/8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