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UmwStG 2006 — Besteuerung offener Rücklagen</w:t>
      </w:r>
    </w:p>
    <w:p>
      <w:r>
        <w:rPr>
          <w:color w:val="555555"/>
          <w:sz w:val="18"/>
        </w:rPr>
        <w:t xml:space="preserve">Umwandlungssteuergesetz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Anteilseigner ist der Teil des in der Steuerbilanz ausgewiesenen Eigenkapitals abzüglich des Bestands des steuerlichen Einlagekontos im Sinne des § 27 des Körperschaftsteuergesetzes, der sich nach Anwendung des § 29 Abs. 1 des Körperschaftsteuergesetzes ergibt, in dem Verhältnis der Anteile zum Nennkapital der übertragenden Körperschaft als Einnahmen aus Kapitalvermögen im Sinne des § 20 Abs. 1 Nr. 1 des Einkommensteuergesetzes zuzurechnen. Dies gilt unabhängig davon, ob für den Anteilseigner ein Übernahmegewinn oder Übernahmeverlust nach § 4 oder § 5 ermittelt wird.</w:t>
      </w:r>
    </w:p>
    <w:p>
      <w:r>
        <w:rPr>
          <w:color w:val="555555"/>
          <w:sz w:val="17"/>
        </w:rPr>
        <w:t xml:space="preserve">Zitiervorschlag: § 7 UmwStG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https://recht.nulegal.eu/gesetze/UmwStG%202006/7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