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UmwStG 2006 — Gewinnerhöhung durch Vereinigung von Forderungen und Verbindlichkeiten</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Erhöht sich der Gewinn des übernehmenden Rechtsträgers dadurch, dass der Vermögensübergang zum Erlöschen von Forderungen und Verbindlichkeiten zwischen der übertragenden Körperschaft und dem übernehmenden Rechtsträger oder zur Auflösung von Rückstellungen führt, so darf der übernehmende Rechtsträger insoweit eine den steuerlichen Gewinn mindernde Rücklage bilden. Die Rücklage ist in den auf ihre Bildung folgenden drei Wirtschaftsjahren mit mindestens je einem Drittel gewinnerhöhend aufzulösen.</w:t>
      </w:r>
    </w:p>
    <w:p>
      <w:r>
        <w:t xml:space="preserve">(2) Absatz 1 gilt entsprechend, wenn sich der Gewinn eines Gesellschafters des übernehmenden Rechtsträgers dadurch erhöht, dass eine Forderung oder Verbindlichkeit der übertragenden Körperschaft auf den übernehmenden Rechtsträger übergeht oder dass infolge des Vermögensübergangs eine Rückstellung aufzulösen ist. Satz 1 gilt nur für Gesellschafter, die im Zeitpunkt der Eintragung des Umwandlungsbeschlusses in das öffentliche Register an dem übernehmenden Rechtsträger beteiligt sind.</w:t>
      </w:r>
    </w:p>
    <w:p>
      <w:r>
        <w:t xml:space="preserve">(3) Die Anwendung der Absätze 1 und 2 entfällt rückwirkend, wenn der übernehmende Rechtsträger den auf ihn übergegangenen Betrieb innerhalb von fünf Jahren nach dem steuerlichen Übertragungsstichtag in eine Kapitalgesellschaft einbringt oder ohne triftigen Grund veräußert oder aufgibt. Bereits erteilte Steuerbescheide, Steuermessbescheide, Freistellungsbescheide oder Feststellungsbescheide sind zu ändern, soweit sie auf der Anwendung der Absätze 1 und 2 beruhen.</w:t>
      </w:r>
    </w:p>
    <w:p>
      <w:r>
        <w:rPr>
          <w:color w:val="555555"/>
          <w:sz w:val="17"/>
        </w:rPr>
        <w:t xml:space="preserve">Zitiervorschlag: § 6 UmwStG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https://recht.nulegal.eu/gesetze/UmwStG%202006/6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