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UmwStG 2006 — Wertansätze in der steuerlichen Schlussbilanz der übertragenden Körperschaft</w:t>
      </w:r>
    </w:p>
    <w:p>
      <w:r>
        <w:rPr>
          <w:color w:val="555555"/>
          <w:sz w:val="18"/>
        </w:rPr>
        <w:t xml:space="preserve">Umwandlungssteuergesetz</w:t>
      </w:r>
    </w:p>
    <w:p>
      <w:r>
        <w:rPr>
          <w:color w:val="555555"/>
          <w:sz w:val="18"/>
        </w:rPr>
        <w:t xml:space="preserve">Stand: 10.12.2024 (konsolidierte Textfassung, kein amtliches Inkrafttretensdatum)</w:t>
      </w:r>
    </w:p>
    <w:p>
      <w:r>
        <w:t xml:space="preserve">(1) Bei einer Verschmelzung auf eine Personengesellschaft oder natürliche Person sind die übergehenden Wirtschaftsgüter, einschließlich nicht entgeltlich erworbener und selbst geschaffener immaterieller Wirtschaftsgüter, in der steuerlichen Schlussbilanz der übertragenden Körperschaft mit dem gemeinen Wert anzusetzen. Für die Bewertung von Pensionsrückstellungen gilt § 6a des Einkommensteuergesetzes.</w:t>
      </w:r>
    </w:p>
    <w:p>
      <w:r>
        <w:t xml:space="preserve">(2) Auf Antrag können die übergehenden Wirtschaftsgüter abweichend von Absatz 1 einheitlich mit dem Buchwert oder einem höheren Wert, höchstens jedoch mit dem Wert nach Absatz 1, angesetzt werden, soweit</w:t>
      </w:r>
    </w:p>
    <w:p>
      <w:pPr>
        <w:ind w:left="420"/>
      </w:pPr>
      <w:r>
        <w:t xml:space="preserve">1. sie Betriebsvermögen der übernehmenden Personengesellschaft oder natürlichen Person werden und sichergestellt ist, dass sie später der Besteuerung mit Einkommensteuer oder Körperschaftsteuer unterliegen, und</w:t>
      </w:r>
    </w:p>
    <w:p>
      <w:pPr>
        <w:ind w:left="420"/>
      </w:pPr>
      <w:r>
        <w:t xml:space="preserve">2. das Recht der Bundesrepublik Deutschland hinsichtlich der Besteuerung des Gewinns aus der Veräußerung der übertragenen Wirtschaftsgüter bei den Gesellschaftern der übernehmenden Personengesellschaft oder bei der natürlichen Person nicht ausgeschlossen oder beschränkt wird und</w:t>
      </w:r>
    </w:p>
    <w:p>
      <w:pPr>
        <w:ind w:left="420"/>
      </w:pPr>
      <w:r>
        <w:t xml:space="preserve">3. eine Gegenleistung nicht gewährt wird oder in Gesellschaftsrechten besteht.</w:t>
      </w:r>
    </w:p>
    <w:p>
      <w:r>
        <w:t xml:space="preserve">Der Antrag ist spätestens bis zur erstmaligen Abgabe der steuerlichen Schlussbilanz bei dem für die Besteuerung der übertragenden Körperschaft zuständigen Finanzamt zu stellen.</w:t>
      </w:r>
    </w:p>
    <w:p>
      <w:r>
        <w:t xml:space="preserve">(2a) Die steuerliche Schlussbilanz der übertragenden Körperschaft ist dem zuständigen Finanzamt spätestens bis zum Ablauf der nach § 149 der Abgabenordnung maßgebenden Frist zur Abgabe der Körperschaftsteuererklärung für den Besteuerungszeitraum, in den der steuerliche Übertragungsstichtag fällt, elektronisch zu übermitteln; § 5b des Einkommensteuergesetzes gilt entsprechend.</w:t>
      </w:r>
    </w:p>
    <w:p>
      <w:r>
        <w:t xml:space="preserve">(3) Haben die Mitgliedstaaten der Europäischen Union bei Verschmelzung einer unbeschränkt steuerpflichtigen Körperschaft Artikel 10 der Richtlinie 2009/133/EG anzuwenden, ist die Körperschaftsteuer auf den Übertragungsgewinn gemäß § 26 des Körperschaftsteuergesetzes um den Betrag ausländischer Steuer zu ermäßigen, der nach den Rechtsvorschriften eines anderen Mitgliedstaats der Europäischen Union erhoben worden wäre, wenn die übertragenen Wirtschaftsgüter zum gemeinen Wert veräußert worden wären. Satz 1 gilt nur, soweit die übertragenen Wirtschaftsgüter einer Betriebsstätte der übertragenden Körperschaft in einem anderen Mitgliedstaat der Europäischen Union zuzurechnen sind und die Bundesrepublik Deutschland die Doppelbesteuerung bei der übertragenden Körperschaft nicht durch Freistellung vermeidet.</w:t>
      </w:r>
    </w:p>
    <w:p>
      <w:r>
        <w:rPr>
          <w:color w:val="555555"/>
          <w:sz w:val="17"/>
        </w:rPr>
        <w:t xml:space="preserve">Zitiervorschlag: § 3 UmwStG 2006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https://recht.nulegal.eu/gesetze/UmwStG%202006/3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