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UmwStG 2006 — Einbringung von Betriebsvermögen in eine Personengesellschaft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Wird ein Betrieb oder Teilbetrieb oder ein Mitunternehmeranteil in eine Personengesellschaft eingebracht und wird der Einbringende Mitunternehmer der Gesellschaft, gelten für die Bewertung des eingebrachten Betriebsvermögens die Absätze 2 bis 4.</w:t>
      </w:r>
    </w:p>
    <w:p>
      <w:r>
        <w:t xml:space="preserve">(2) Die Personengesellschaft hat das eingebrachte Betriebsvermögen in ihrer Bilanz einschließlich der Ergänzungsbilanzen für ihre Gesellschafter mit dem gemeinen Wert anzusetzen; für die Bewertung von Pensionsrückstellungen gilt § 6a des Einkommensteuergesetzes. Abweichend von Satz 1 kann das übernommene Betriebsvermögen auf Antrag mit dem Buchwert oder einem höheren Wert, höchstens jedoch mit dem Wert im Sinne des Satzes 1, angesetzt werden, soweit</w:t>
      </w:r>
    </w:p>
    <w:p>
      <w:pPr>
        <w:ind w:left="420"/>
      </w:pPr>
      <w:r>
        <w:t xml:space="preserve">1. das Recht der Bundesrepublik Deutschland hinsichtlich der Besteuerung des eingebrachten Betriebsvermögens nicht ausgeschlossen oder beschränkt wird und</w:t>
      </w:r>
    </w:p>
    <w:p>
      <w:pPr>
        <w:ind w:left="420"/>
      </w:pPr>
      <w:r>
        <w:t xml:space="preserve">2. der gemeine Wert von sonstigen Gegenleistungen, die neben den neuen Gesellschaftsanteilen gewährt werden, nicht mehr beträgt als</w:t>
      </w:r>
    </w:p>
    <w:p>
      <w:pPr>
        <w:ind w:left="780"/>
      </w:pPr>
      <w:r>
        <w:t xml:space="preserve">a) 25 Prozent des Buchwerts des eingebrachten Betriebsvermögens oder</w:t>
      </w:r>
    </w:p>
    <w:p>
      <w:pPr>
        <w:ind w:left="780"/>
      </w:pPr>
      <w:r>
        <w:t xml:space="preserve">b) 500 000 Euro, höchstens jedoch den Buchwert des eingebrachten Betriebsvermögens.</w:t>
      </w:r>
    </w:p>
    <w:p>
      <w:r>
        <w:t xml:space="preserve">§ 20 Abs. 2 Satz 3 gilt entsprechend. Erhält der Einbringende neben den neuen Gesellschaftsanteilen auch sonstige Gegenleistungen, ist das eingebrachte Betriebsvermögen abweichend von Satz 2 mindestens mit dem gemeinen Wert der sonstigen Gegenleistungen anzusetzen, wenn dieser den sich nach Satz 2 ergebenden Wert übersteigt.</w:t>
      </w:r>
    </w:p>
    <w:p>
      <w:r>
        <w:t xml:space="preserve">(3) Der Wert, mit dem das eingebrachte Betriebsvermögen in der Bilanz der Personengesellschaft einschließlich der Ergänzungsbilanzen für ihre Gesellschafter angesetzt wird, gilt für den Einbringenden als Veräußerungspreis. § 16 Abs. 4 des Einkommensteuergesetzes ist nur anzuwenden, wenn das eingebrachte Betriebsvermögen mit dem gemeinen Wert angesetzt wird und es sich nicht um die Einbringung von Teilen eines Mitunternehmeranteils handelt; in diesen Fällen ist § 34 Abs. 1 und 3 des Einkommensteuergesetzes anzuwenden, soweit der Veräußerungsgewinn nicht nach § 3 Nr. 40 Satz 1 Buchstabe b in Verbindung mit § 3c Abs. 2 des Einkommensteuergesetzes teilweise steuerbefreit ist. In den Fällen des Satzes 2 gilt § 16 Abs. 2 Satz 3 des Einkommensteuergesetzes entsprechend.</w:t>
      </w:r>
    </w:p>
    <w:p>
      <w:r>
        <w:t xml:space="preserve">(4) § 23 Abs. 1, 3, 4 und 6 gilt entsprechend; in den Fällen der Einbringung in eine Personengesellschaft im Wege der Gesamtrechtsnachfolge gilt auch § 20 Abs. 5 und 6 entsprechend.</w:t>
      </w:r>
    </w:p>
    <w:p>
      <w:r>
        <w:t xml:space="preserve">(5) Soweit im Rahmen einer Einbringung nach Absatz 1 unter dem gemeinen Wert eingebrachte Anteile an einer Körperschaft, Personenvereinigung oder Vermögensmasse innerhalb eines Zeitraums von sieben Jahren nach dem Einbringungszeitpunkt durch die übernehmende Personengesellschaft veräußert oder durch einen Vorgang nach § 22 Absatz 1 Satz 6 Nummer 1 bis 5 weiter übertragen werden und soweit beim Einbringenden der Gewinn aus der Veräußerung dieser Anteile im Einbringungszeitpunkt nicht nach § 8b Absatz 2 des Körperschaftsteuergesetzes steuerfrei gewesen wäre, ist § 22 Absatz 2, 3 und 5 bis 7 insoweit entsprechend anzuwenden, als der Gewinn aus der Veräußerung der eingebrachten Anteile auf einen Mitunternehmer entfällt, für den insoweit § 8b Absatz 2 des Körperschaftsteuergesetzes Anwendung findet.</w:t>
      </w:r>
    </w:p>
    <w:p>
      <w:r>
        <w:t xml:space="preserve">(6) § 20 Abs. 9 gilt entsprechend.</w:t>
      </w:r>
    </w:p>
    <w:p>
      <w:r>
        <w:rPr>
          <w:color w:val="555555"/>
          <w:sz w:val="17"/>
        </w:rPr>
        <w:t xml:space="preserve">Zitiervorschlag: § 24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