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UmwStG 2006 — Besteuerung der Anteilseigner der übertragenden Körperschaft</w:t>
      </w:r>
    </w:p>
    <w:p>
      <w:r>
        <w:rPr>
          <w:color w:val="555555"/>
          <w:sz w:val="18"/>
        </w:rPr>
        <w:t xml:space="preserve">Umwandlungssteuergesetz</w:t>
      </w:r>
    </w:p>
    <w:p>
      <w:r>
        <w:rPr>
          <w:color w:val="555555"/>
          <w:sz w:val="18"/>
        </w:rPr>
        <w:t xml:space="preserve">Stand: 07.01.2025 (konsolidierte Textfassung, kein amtliches Inkrafttretensdatum)</w:t>
      </w:r>
    </w:p>
    <w:p>
      <w:r>
        <w:t xml:space="preserve">(1) Die Anteile an der übertragenden Körperschaft gelten als zum gemeinen Wert veräußert und die an ihre Stelle tretenden Anteile an der übernehmenden Körperschaft gelten als mit diesem Wert angeschafft.</w:t>
      </w:r>
    </w:p>
    <w:p>
      <w:r>
        <w:t xml:space="preserve">(2) Abweichend von Absatz 1 sind auf Antrag die Anteile an der übernehmenden Körperschaft mit dem Buchwert der Anteile an der übertragenden Körperschaft anzusetzen, wenn</w:t>
      </w:r>
    </w:p>
    <w:p>
      <w:pPr>
        <w:ind w:left="420"/>
      </w:pPr>
      <w:r>
        <w:t xml:space="preserve">1. das Recht der Bundesrepublik Deutschland hinsichtlich der Besteuerung des Gewinns aus der Veräußerung der Anteile an der übernehmenden Körperschaft nicht ausgeschlossen oder beschränkt wird oder</w:t>
      </w:r>
    </w:p>
    <w:p>
      <w:pPr>
        <w:ind w:left="420"/>
      </w:pPr>
      <w:r>
        <w:t xml:space="preserve">2. die Mitgliedstaaten der Europäischen Union bei einer Verschmelzung Artikel 8 der Richtlinie 2009/133/EG anzuwenden haben; in diesem Fall ist der Gewinn aus einer späteren Veräußerung der erworbenen Anteile ungeachtet der Bestimmungen eines Abkommens zur Vermeidung der Doppelbesteuerung in der gleichen Art und Weise zu besteuern, wie die Veräußerung der Anteile an der übertragenden Körperschaft zu besteuern wäre. § 15 Abs. 1a Satz 2 des Einkommensteuergesetzes ist entsprechend anzuwenden.</w:t>
      </w:r>
    </w:p>
    <w:p>
      <w:r>
        <w:t xml:space="preserve">Der Antrag ist spätestens bis zur erstmaligen Abgabe der Steuererklärung bei dem für die Besteuerung des Anteilseigners zuständigen Finanzamt zu stellen. Die Anteile an der übernehmenden Körperschaft treten steuerlich an die Stelle der Anteile an der übertragenden Körperschaft. Gehören die Anteile an der übertragenden Körperschaft nicht zu einem Betriebsvermögen, treten an die Stelle des Buchwerts die Anschaffungskosten.</w:t>
      </w:r>
    </w:p>
    <w:p>
      <w:r>
        <w:rPr>
          <w:color w:val="555555"/>
          <w:sz w:val="17"/>
        </w:rPr>
        <w:t xml:space="preserve">Zitiervorschlag: § 13 UmwStG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https://recht.nulegal.eu/gesetze/UmwStG%202006/13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