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UmwStG 1995 — Entsprechende Anwendung von Vorschriften beim Vermögensübergang auf eine natürliche Person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das Vermögen der übertragenden Körperschaft Betriebsvermögen einer natürlichen Person, so sind die §§ 4 bis 7 entsprechend anzuwenden.</w:t>
      </w:r>
    </w:p>
    <w:p>
      <w:r>
        <w:t xml:space="preserve">(2) Wird das Vermögen der übertragenden Körperschaft Privatvermögen einer natürlichen Person, so sind § 4 Abs. 2 Satz 1 und 2 und Abs. 3 sowie § 5 Abs. 1, § 7 und § 8 Abs. 2 sinngemäß anzuwenden.</w:t>
      </w:r>
    </w:p>
    <w:p>
      <w:r>
        <w:rPr>
          <w:color w:val="555555"/>
          <w:sz w:val="17"/>
        </w:rPr>
        <w:t xml:space="preserve">Zitiervorschlag: § 9 UmwStG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https://recht.nulegal.eu/gesetze/UmwStG%201995/9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