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UmwStG 1995 — Einbringung in der Europäischen Union</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1Bringt eine unbeschränkt körperschaftsteuerpflichtige Kapitalgesellschaft (§ 1 Abs. 1 Nr. 1 des Körperschaftsteuergesetzes) einen Betrieb oder Teilbetrieb in eine inländische Betriebsstätte einer Kapitalgesellschaft ein, die die Voraussetzungen des Artikels 3 der Richtlinie 90/434/EWG des Rates vom 23. Juli 1990 (ABl. EG Nr. L 225 S. 1) erfüllt (EU-Kapitalgesellschaft) und beschränkt körperschaftsteuerpflichtig ist, und erhält die einbringende Kapitalgesellschaft dafür neue Anteile an der übernehmenden Kapitalgesellschaft, so gelten für die Bewertung des eingebrachten Betriebsvermögens in der Betriebsstätte der übernehmenden Kapitalgesellschaft und der neuen Anteile bei der einbringenden Kapitalgesellschaft § 20 Abs. 2 Satz 1 bis 4 und 6, Abs. 4 Satz 1, Abs. 5 Satz 2, Abs. 7 und 8 entsprechend. 2Satz 1 gilt auch, wenn die einbringende Kapitalgesellschaft nur steuerpflichtig ist, soweit sie einen wirtschaftlichen Geschäftsbetrieb unterhält, oder wenn die inländische Betriebsstätte der übernehmenden Kapitalgesellschaft erst durch die Einbringung des Betriebs oder Teilbetriebs entsteht.</w:t>
      </w:r>
    </w:p>
    <w:p>
      <w:r>
        <w:t xml:space="preserve">(2) Bringt eine beschränkt körperschaftsteuerpflichtige EU-Kapitalgesellschaft ihre inländische Betriebsstätte im Rahmen der Einbringung eines Betriebs oder Teilbetriebs in eine unbeschränkt oder beschränkt körperschaftsteuerpflichtige EU-Kapitalgesellschaft ein, so gilt für die Bewertung des eingebrachten Betriebsvermögens § 20 Abs. 2 Satz 1 bis 4 und 6, Abs. 4 Satz 1, Abs. 5 Satz 2, Abs. 7 und 8 entsprechend.</w:t>
      </w:r>
    </w:p>
    <w:p>
      <w:r>
        <w:t xml:space="preserve">(3) Bringt eine unbeschränkt körperschaftsteuerpflichtige Kapitalgesellschaft im Rahmen der Einbringung eines Betriebs oder Teilbetriebs eine in einem anderen Mitgliedsstaat der Europäischen Union belegene Betriebsstätte in eine beschränkt körperschaftsteuerpflichtige EU-Kapitalgesellschaft ein, so gilt für den Wertansatz der neuen Anteile § 20 Abs. 4 Satz 1, Abs. 7 und 8 entsprechend.</w:t>
      </w:r>
    </w:p>
    <w:p>
      <w:r>
        <w:t xml:space="preserve">(4) 1Werden Anteile im Sinne des § 20 Abs. 1 Satz 2 an einer EU-Kapitalgesellschaft in eine andere EU-Kapitalgesellschaft eingebracht, so gilt für die Bewertung der Anteile, die die übernehmende Kapitalgesellschaft erhält, § 20 Abs. 2 Satz 1 bis 4 und 6 und für die Bewertung der neuen Anteile, die der Einbringende von der übernehmenden Kapitalgesellschaft erhält, § 20 Abs. 4 Satz 1 entsprechend. 2Abweichend von § 20 Abs. 4 Satz 1 gilt für den Einbringenden der Teilwert der eingebrachten Anteile als Veräußerungspreis, wenn das Besteuerungsrecht der Bundesrepublik Deutschland hinsichtlich des Gewinns aus einer Veräußerung der dem Einbringenden gewährten Gesellschaftsanteile im Zeitpunkt der Sacheinlage ausgeschlossen ist. 3Der Anwendung des Satzes 1 steht nicht entgegen, dass die übernehmende Kapitalgesellschaft dem Einbringenden neben neuen Anteilen eine zusätzliche Gegenleistung gewährt, wenn diese 10 vom Hundert des Nennwerts oder eines an dessen Stelle tretenden rechnerischen Werts der gewährten Anteile nicht überschreitet. 4In den Fällen des Satzes 3 ist für die Bewertung der Anteile, die die übernehmende Kapitalgesellschaft erhält, auch § 20 Abs. 2 Satz 5 und für die Bewertung der Anteile, die der Einbringende erhält, auch § 20 Abs. 4 Satz 2 entsprechend anzuwenden. 5§ 20 Abs. 5 gilt entsprechend.</w:t>
      </w:r>
    </w:p>
    <w:p>
      <w:r>
        <w:rPr>
          <w:color w:val="555555"/>
          <w:sz w:val="17"/>
        </w:rPr>
        <w:t xml:space="preserve">Zitiervorschlag: § 23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