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UmwStG 1995 — Auswirkungen bei der übernehmenden Kapitalgesellschaft</w:t>
      </w:r>
    </w:p>
    <w:p>
      <w:r>
        <w:rPr>
          <w:color w:val="555555"/>
          <w:sz w:val="18"/>
        </w:rPr>
        <w:t xml:space="preserve">Umwandlungssteuergesetz</w:t>
      </w:r>
    </w:p>
    <w:p>
      <w:r>
        <w:rPr>
          <w:color w:val="555555"/>
          <w:sz w:val="18"/>
        </w:rPr>
        <w:t xml:space="preserve">Stand: 10.06.2019 (konsolidierte Textfassung, kein amtliches Inkrafttretensdatum)</w:t>
      </w:r>
    </w:p>
    <w:p>
      <w:r>
        <w:t xml:space="preserve">(1) Setzt die Kapitalgesellschaft das eingebrachte Betriebsvermögen mit dem Buchwert (§ 20 Abs. 2 Satz 2) an, so gelten § 4 Abs. 2 Satz 3 und § 12 Abs. 3 Satz 1 entsprechend.</w:t>
      </w:r>
    </w:p>
    <w:p>
      <w:r>
        <w:t xml:space="preserve">(2) Setzt die Kapitalgesellschaft das eingebrachte Betriebsvermögen mit einem über dem Buchwert, aber unter dem Teilwert liegenden Wert an, so gilt § 12 Abs. 3 Satz 1 entsprechend mit der folgenden Maßgabe:</w:t>
      </w:r>
    </w:p>
    <w:p>
      <w:pPr>
        <w:ind w:left="420"/>
      </w:pPr>
      <w:r>
        <w:t xml:space="preserve">1. Die Absetzungen für Abnutzung oder Substanzverringerung nach § 7 Abs. 1, 4, 5 und 6 des Einkommensteuergesetzes sind vom Zeitpunkt der Einbringung an nach den Anschaffungs- oder Herstellungskosten des Einbringenden, vermehrt um den Unterschiedsbetrag zwischen dem Buchwert der einzelnen Wirtschaftsgüter und dem Wert, mit dem die Kapitalgesellschaft die Wirtschaftsgüter ansetzt, zu bemessen.</w:t>
      </w:r>
    </w:p>
    <w:p>
      <w:pPr>
        <w:ind w:left="420"/>
      </w:pPr>
      <w:r>
        <w:t xml:space="preserve">2. Bei den Absetzungen für Abnutzung nach § 7 Abs. 2 des Einkommensteuergesetzes tritt im Zeitpunkt der Einbringung an die Stelle des Buchwerts der einzelnen Wirtschaftsgüter der Wert, mit dem die Kapitalgesellschaft die Wirtschaftsgüter ansetzt.</w:t>
      </w:r>
    </w:p>
    <w:p>
      <w:r>
        <w:t xml:space="preserve">(3) Setzt die Kapitalgesellschaft das eingebrachte Betriebsvermögen mit dem Teilwert an, so gelten die eingebrachten Wirtschaftsgüter als im Zeitpunkt der Einbringung von der Kapitalgesellschaft angeschafft, wenn die Einbringung des Betriebsvermögens im Wege der Einzelrechtsnachfolge erfolgt; erfolgt die Einbringung des Betriebsvermögens im Wege der Gesamtrechtsnachfolge nach den Vorschriften des Umwandlungsgesetzes, so gilt Absatz 2 entsprechend.</w:t>
      </w:r>
    </w:p>
    <w:p>
      <w:r>
        <w:t xml:space="preserve">(4) Der maßgebende Gewerbeertrag der übernehmenden Kapitalgesellschaft kann nicht um die vortragsfähigen Fehlbeträge des Einbringenden im Sinne des § 10a des Gewerbesteuergesetzes gekürzt werden.</w:t>
      </w:r>
    </w:p>
    <w:p>
      <w:r>
        <w:t xml:space="preserve">(5) § 6 Abs. 1 und 2 gilt entsprechend.</w:t>
      </w:r>
    </w:p>
    <w:p>
      <w:r>
        <w:rPr>
          <w:color w:val="555555"/>
          <w:sz w:val="17"/>
        </w:rPr>
        <w:t xml:space="preserve">Zitiervorschlag: § 22 UmwStG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https://recht.nulegal.eu/gesetze/UmwStG%201995/22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