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UmwStG 1995 — Gewerbesteuer bei Vermögensübergang auf eine Personengesellschaft oder auf eine natürliche Person sowie bei Formwechsel in eine Personengesellschaft</w:t>
      </w:r>
    </w:p>
    <w:p>
      <w:r>
        <w:rPr>
          <w:color w:val="555555"/>
          <w:sz w:val="18"/>
        </w:rPr>
        <w:t xml:space="preserve">Umwandlungssteuergesetz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1Die §§ 3 bis 9, 14 und 16 gelten bei Vermögensübergang auf eine Personengesellschaft oder auf eine natürliche Person sowie bei Formwechsel in eine Personengesellschaft vorbehaltlich des Absatzes 2 auch für die Ermittlung des Gewerbeertrags. 2Der maßgebende Gewerbeertrag der übernehmenden Personengesellschaft oder natürlichen Person kann nicht um die vortragsfähigen Fehlbeträge der übertragenden Körperschaft im Sinne des § 10a des Gewerbesteuergesetzes gekürzt werden.</w:t>
      </w:r>
    </w:p>
    <w:p>
      <w:r>
        <w:t xml:space="preserve">(2) Ein Übernahmegewinn oder -verlust ist nicht zu erfassen.</w:t>
      </w:r>
    </w:p>
    <w:p>
      <w:r>
        <w:t xml:space="preserve">(3) (weggefallen)</w:t>
      </w:r>
    </w:p>
    <w:p>
      <w:r>
        <w:t xml:space="preserve">(4) 1Wird der Betrieb der Personengesellschaft oder der natürlichen Person innerhalb von fünf Jahren nach der Umwandlung aufgegeben oder veräußert, unterliegt ein Auflösungs- oder Veräußerungsgewinn der Gewerbesteuer. 2Satz 1 gilt entsprechend, soweit ein Teilbetrieb oder ein Anteil an der Personengesellschaft aufgegeben oder veräußert wird. 3Der auf Veräußerungs- oder Aufgabegewinne im Sinne der Sätze 1 und 2 beruhende Teil des Gewerbesteuer-Messbetrags ist bei der Ermäßigung der Einkommensteuer nach § 35 des Einkommensteuergesetzes nicht zu berücksichtigen.</w:t>
      </w:r>
    </w:p>
    <w:p>
      <w:r>
        <w:rPr>
          <w:color w:val="555555"/>
          <w:sz w:val="17"/>
        </w:rPr>
        <w:t xml:space="preserve">Zitiervorschlag: § 18 UmwStG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https://recht.nulegal.eu/gesetze/UmwStG%201995/18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