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UmwStG 1995 — Aufspaltung, Abspaltung und Teilübertragung auf andere Körperschaften</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1Geht Vermögen einer Körperschaft durch Aufspaltung oder Abspaltung oder durch Teilübertragung auf andere Körperschaften über, gelten die §§ 11 bis 13 vorbehaltlich des § 16 entsprechend, wenn auf die Übernehmerinnen ein Teilbetrieb übertragen wird. 2Im Falle der Abspaltung oder Teilübertragung muss das der übertragenden Körperschaft verbleibende Vermögen ebenfalls zu einem Teilbetrieb gehören. 3Als Teilbetrieb gilt auch ein Mitunternehmeranteil oder die Beteiligung an einer Kapitalgesellschaft, die das gesamte Nennkapital der Gesellschaft umfasst.</w:t>
      </w:r>
    </w:p>
    <w:p>
      <w:r>
        <w:t xml:space="preserve">(2) Die übertragende Körperschaft hat eine Steuerbilanz auf den steuerlichen Übertragungsstichtag aufzustellen.</w:t>
      </w:r>
    </w:p>
    <w:p>
      <w:r>
        <w:t xml:space="preserve">(3) 1§ 11 Abs. 1 ist auf Mitunternehmeranteile und Beteiligungen im Sinne des Absatzes 1 nicht anzuwenden, wenn sie innerhalb eines Zeitraums von drei Jahren vor dem steuerlichen Übertragungsstichtag durch Übertragung von Wirtschaftsgütern, die kein Teilbetrieb sind, erworben oder aufgestockt worden sind. 2§ 11 Abs. 1 ist ebenfalls nicht anzuwenden, wenn durch die Spaltung die Veräußerung an außenstehende Personen vollzogen wird. 3Das Gleiche gilt, wenn durch die Spaltung die Voraussetzungen für eine Veräußerung geschaffen werden. 4Davon ist auszugehen, wenn innerhalb von fünf Jahren nach dem steuerlichen Übertragungsstichtag Anteile an einer an der Spaltung beteiligten Körperschaft, die mehr als 20 vom Hundert der vor Wirksamwerden der Spaltung an der Körperschaft bestehenden Anteile ausmachen, veräußert werden. 5Bei der Trennung von Gesellschafterstämmen setzt die Anwendung des § 11 Abs. 1 außerdem voraus, dass die Beteiligungen an der übertragenden Körperschaft mindestens fünf Jahre vor dem steuerlichen Übertragungsstichtag bestanden haben.</w:t>
      </w:r>
    </w:p>
    <w:p>
      <w:r>
        <w:t xml:space="preserve">(4) 1Ein verbleibender Verlustvortrag im Sinne des § 10d Abs. 4 Satz 2 des Einkommensteuergesetzes ist vorbehaltlich des § 16 im Verhältnis der übergehenden Vermögensteile zu dem bei der übertragenden Körperschaft vor der Spaltung bestehenden Vermögen aufzuteilen, wie es in der Regel in den Angaben zum Umtauschverhältnis der Anteile im Spaltungs- und Übernahmevertrag oder im Spaltungsplan (§ 126 Abs. 1 Nr. 3, § 136 des Umwandlungsgesetzes) zum Ausdruck kommt. 2Entspricht das Umtauschverhältnis der Anteile nicht dem Verhältnis der übergehenden Vermögensteile zu dem bei der übertragenden Körperschaft vor der Spaltung bestehenden Vermögen, ist das Verhältnis der gemeinen Werte der übergehenden Vermögensteile zu dem vor der Spaltung vorhandenen Vermögen maßgebend. 3Satz 2 ist ebenfalls anzuwenden, wenn im Rahmen der Spaltung keine Anteile, sondern Mitgliedschaften an der übernehmenden Körperschaft erworben werden.</w:t>
      </w:r>
    </w:p>
    <w:p>
      <w:r>
        <w:rPr>
          <w:color w:val="555555"/>
          <w:sz w:val="17"/>
        </w:rPr>
        <w:t xml:space="preserve">Zitiervorschlag: § 15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https://recht.nulegal.eu/gesetze/UmwStG%201995/15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