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UmwStG 1995 — Besteuerung der Gesellschafter der übertragenden Körperschaft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Anteile an der übertragenden Körperschaft, die zu einem Betriebsvermögen gehören, gelten als zum Buchwert veräußert und die an ihre Stelle tretenden Anteile als mit diesem Wert angeschafft.</w:t>
      </w:r>
    </w:p>
    <w:p>
      <w:r>
        <w:t xml:space="preserve">(2) 1Gehören Anteile an der übertragenden Körperschaft nicht zu einem Betriebsvermögen und sind die Voraussetzungen des § 17 oder des § 23 des Einkommensteuergesetzes erfüllt, treten an die Stelle des Buchwerts die Anschaffungskosten. 2Die im Zuge des Vermögensübergangs gewährten Anteile gelten als Anteile im Sinne des § 17 des Einkommensteuergesetzes. 3Werden aus Anteilen, die die Voraussetzungen des § 17 des Einkommensteuergesetzes nicht erfüllen, Anteile im Sinne des § 17 des Einkommensteuergesetzes, gilt für diese Anteile der gemeine Wert am steuerlichen Übertragungsstichtag als Anschaffungskosten.</w:t>
      </w:r>
    </w:p>
    <w:p>
      <w:r>
        <w:t xml:space="preserve">(3) 1Für einbringungsgeborene Anteile im Sinne des § 21 gilt Absatz 1 entsprechend. 2Die erworbenen Anteile treten an die Stelle der hingegebenen Anteile.</w:t>
      </w:r>
    </w:p>
    <w:p>
      <w:r>
        <w:t xml:space="preserve">(4) Ein Sperrbetrag im Sinne des § 50c des Einkommensteuergesetzes, der den Anteilen an der übertragenden Körperschaft anhaftet, verlagert sich auf die Anteile an der übernehmenden Körperschaft.</w:t>
      </w:r>
    </w:p>
    <w:p>
      <w:r>
        <w:rPr>
          <w:color w:val="555555"/>
          <w:sz w:val="17"/>
        </w:rPr>
        <w:t xml:space="preserve">Zitiervorschlag: § 13 UmwStG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https://recht.nulegal.eu/gesetze/UmwStG%201995/13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