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UmwStG 1995 — Körperschaftsteuerminderung und Körperschaftsteuererhöhung</w:t>
      </w:r>
    </w:p>
    <w:p>
      <w:r>
        <w:rPr>
          <w:color w:val="555555"/>
          <w:sz w:val="18"/>
        </w:rPr>
        <w:t xml:space="preserve">Umwandlungssteuergesetz</w:t>
      </w:r>
    </w:p>
    <w:p>
      <w:r>
        <w:rPr>
          <w:color w:val="555555"/>
          <w:sz w:val="18"/>
        </w:rPr>
        <w:t xml:space="preserve">Stand: 10.06.2019 (konsolidierte Textfassung, kein amtliches Inkrafttretensdatum)</w:t>
      </w:r>
    </w:p>
    <w:p>
      <w:r>
        <w:t xml:space="preserve">1Die Körperschaftsteuerschuld der übertragenden Körperschaft mindert oder erhöht sich für den Veranlagungszeitraum der Umwandlung um den Betrag, der sich nach den §§ 37 und 38 des Körperschaftsteuergesetzes ergeben würde, wenn das in der Steuerbilanz ausgewiesene Eigenkapital abzüglich des Betrags, der nach § 28 Abs. 2 Satz 1 des Körperschaftsteuergesetzes in Verbindung mit § 29 Abs. 1 des Körperschaftsteuergesetzes dem steuerlichen Einlagekonto gutzuschreiben ist, als am Übertragungsstichtag für eine Ausschüttung verwendet gelten würde. 2§ 37 Abs. 2a des Körperschaftsteuergesetzes in der Fassung des Artikels 2 des Gesetzes vom 16. Mai 2003 (BGBl. I S. 660) ist nicht anzuwenden.</w:t>
      </w:r>
    </w:p>
    <w:p>
      <w:r>
        <w:rPr>
          <w:color w:val="555555"/>
          <w:sz w:val="17"/>
        </w:rPr>
        <w:t xml:space="preserve">Zitiervorschlag: § 10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