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UmwStG 1995 — Anwendungsbereich des zweiten bis siebten Teils</w:t>
      </w:r>
    </w:p>
    <w:p>
      <w:r>
        <w:rPr>
          <w:color w:val="555555"/>
          <w:sz w:val="18"/>
        </w:rPr>
        <w:t xml:space="preserve">Umwandlungssteuergesetz</w:t>
      </w:r>
    </w:p>
    <w:p>
      <w:r>
        <w:rPr>
          <w:color w:val="555555"/>
          <w:sz w:val="18"/>
        </w:rPr>
        <w:t xml:space="preserve">Stand: 10.06.2019 (konsolidierte Textfassung, kein amtliches Inkrafttretensdatum)</w:t>
      </w:r>
    </w:p>
    <w:p>
      <w:r>
        <w:t xml:space="preserve">(1) 1Der zweite bis siebte Teil gilt nur für Umwandlungen im Sinne des § 1 des Umwandlungsgesetzes von Kapitalgesellschaften, eingetragenen Genossenschaften, eingetragenen Vereinen (§ 21 des Bürgerlichen Gesetzbuchs), wirtschaftlichen Vereinen (§ 22 des Bürgerlichen Gesetzbuchs), genossenschaftlichen Prüfungsverbänden, Versicherungsvereinen auf Gegenseitigkeit sowie Körperschaften und Anstalten des öffentlichen Rechts. 2Diese Teile gelten nicht für die Ausgliederung.</w:t>
      </w:r>
    </w:p>
    <w:p>
      <w:r>
        <w:t xml:space="preserve">(2) Für die Verschmelzung im Sinne des § 2 des Umwandlungsgesetzes gelten der zweite, dritte sowie der sechste und siebte Teil, für die Vermögensübertragung (Vollübertragung) im Sinne des § 174 Abs. 1 des Umwandlungsgesetzes der dritte und sechste Teil sowie § 19.</w:t>
      </w:r>
    </w:p>
    <w:p>
      <w:r>
        <w:t xml:space="preserve">(3) Für den Formwechsel einer Kapitalgesellschaft in eine Personengesellschaft im Sinne des § 190 Abs. 1 des Umwandlungsgesetzes und den Formwechsel einer eingetragenen Genossenschaft in eine Personengesellschaft im Sinne des § 38a des Landwirtschaftsanpassungsgesetzes gelten die §§ 14 und 18.</w:t>
      </w:r>
    </w:p>
    <w:p>
      <w:r>
        <w:t xml:space="preserve">(4) Für die Aufspaltung und die Abspaltung im Sinne des § 123 Abs. 1 und 2 des Umwandlungsgesetzes gelten der fünfte bis siebte Teil, für die der Aufspaltung und der Abspaltung entsprechenden Vorgänge der Vermögensübertragung (Teilübertragung) im Sinne des § 174 Abs. 2 Nr. 1 und 2 des Umwandlungsgesetzes die §§ 15 und 19.</w:t>
      </w:r>
    </w:p>
    <w:p>
      <w:r>
        <w:t xml:space="preserve">(5) Die Absätze 1 bis 4 gelten nur für Körperschaften, die nach § 1 des Körperschaftsteuergesetzes unbeschränkt steuerpflichtig sind.</w:t>
      </w:r>
    </w:p>
    <w:p>
      <w:r>
        <w:rPr>
          <w:color w:val="555555"/>
          <w:sz w:val="17"/>
        </w:rPr>
        <w:t xml:space="preserve">Zitiervorschlag: § 1 UmwStG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https://recht.nulegal.eu/gesetze/UmwStG%201995/1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