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UmwRG — Klagebegründungsfrist</w:t>
      </w:r>
    </w:p>
    <w:p>
      <w:r>
        <w:rPr>
          <w:color w:val="555555"/>
          <w:sz w:val="18"/>
        </w:rPr>
        <w:t xml:space="preserve">Umwelt-Rechtsbehelfsgesetz</w:t>
      </w:r>
    </w:p>
    <w:p>
      <w:r>
        <w:rPr>
          <w:color w:val="555555"/>
          <w:sz w:val="18"/>
        </w:rPr>
        <w:t xml:space="preserve">Stand: 21.03.2023 (konsolidierte Textfassung, kein amtliches Inkrafttretensdatum)</w:t>
      </w:r>
    </w:p>
    <w:p>
      <w:r>
        <w:t xml:space="preserve">Eine Person oder eine Vereinigung im Sinne des § 4 Absatz 3 Satz 1 hat innerhalb einer Frist von zehn Wochen ab Klageerhebung die zur Begründung ihrer Klage gegen eine Entscheidung im Sinne von § 1 Absatz 1 Satz 1 oder gegen deren Unterlassen dienenden Tatsachen und Beweismittel anzugeben. Erklärungen und Beweismittel, die erst nach Ablauf dieser Frist vorgebracht werden, sind nur zuzulassen, wenn die Voraussetzung nach § 87b Absatz 3 Satz 1 Nummer 2 der Verwaltungsgerichtsordnung erfüllt ist. § 87b Absatz 3 Satz 2 und 3 der Verwaltungsgerichtsordnung gilt entsprechend. Die Frist nach Satz 1 kann durch den Vorsitzenden oder den Berichterstatter auf Antrag verlängert werden, wenn die Person oder die Vereinigung in dem Verfahren, in dem die angefochtene Entscheidung ergangen ist, keine Möglichkeit der Beteiligung hatte. Die vorstehenden Sätze gelten entsprechend für Fälle, in denen das gerichtliche Verfahren zur Durchführung eines Planergänzungs- oder Planänderungsverfahrens ausgesetzt wurde und später fortgesetzt wird; die Frist läuft ab Fortsetzung des gerichtlichen Verfahrens.</w:t>
      </w:r>
    </w:p>
    <w:p>
      <w:r>
        <w:rPr>
          <w:color w:val="555555"/>
          <w:sz w:val="17"/>
        </w:rPr>
        <w:t xml:space="preserve">Zitiervorschlag: § 6 UmwRG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