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UmwRG — Missbräuchliches oder unredliches Verhalten im Rechtsbehelfsverfahren</w:t>
      </w:r>
    </w:p>
    <w:p>
      <w:r>
        <w:rPr>
          <w:color w:val="555555"/>
          <w:sz w:val="18"/>
        </w:rPr>
        <w:t xml:space="preserve">Umwelt-Rechtsbehelfsgesetz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Einwendungen, die eine Person oder eine Vereinigung im Sinne des § 4 Absatz 3 Satz 1 erstmals im Rechtsbehelfsverfahren erhebt, bleiben unberücksichtigt, wenn die erstmalige Geltendmachung im Rechtsbehelfsverfahren missbräuchlich oder unredlich ist.</w:t>
      </w:r>
    </w:p>
    <w:p>
      <w:r>
        <w:rPr>
          <w:color w:val="555555"/>
          <w:sz w:val="17"/>
        </w:rPr>
        <w:t xml:space="preserve">Zitiervorschlag: § 5 UmwRG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