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99 UmwG 1995 — Möglichkeit der Verschmelzung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rechtsfähiger Verein kann sich an einer Verschmelzung nur beteiligen, wenn die Satzung des Vereins oder Vorschriften des Landesrechts nicht entgegenstehen.</w:t>
      </w:r>
    </w:p>
    <w:p>
      <w:r>
        <w:t xml:space="preserve">(2) Ein eingetragener Verein darf im Wege der Verschmelzung Rechtsträger anderer Rechtsform nicht aufnehmen und durch die Verschmelzung solcher Rechtsträger nicht gegründet werden.</w:t>
      </w:r>
    </w:p>
    <w:p>
      <w:r>
        <w:rPr>
          <w:color w:val="555555"/>
          <w:sz w:val="17"/>
        </w:rPr>
        <w:t xml:space="preserve">Zitiervorschlag: § 99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