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98 UmwG 1995 — Verschmelzungsbeschlüsse</w:t>
      </w:r>
    </w:p>
    <w:p>
      <w:r>
        <w:rPr>
          <w:color w:val="555555"/>
          <w:sz w:val="18"/>
        </w:rPr>
        <w:t xml:space="preserve">Umwandlungsgesetz</w:t>
      </w:r>
    </w:p>
    <w:p>
      <w:r>
        <w:rPr>
          <w:color w:val="555555"/>
          <w:sz w:val="18"/>
        </w:rPr>
        <w:t xml:space="preserve">Stand: 10.06.2019 (konsolidierte Textfassung, kein amtliches Inkrafttretensdatum)</w:t>
      </w:r>
    </w:p>
    <w:p>
      <w:r>
        <w:t xml:space="preserve">Die Satzung der neuen Genossenschaft wird nur wirksam, wenn ihm die Anteilsinhaber jedes der übertragenden Rechtsträger durch Verschmelzungsbeschluß zustimmen. Dies gilt entsprechend für die Bestellung der Mitglieder des Vorstands und des Aufsichtsrats der neuen Genossenschaft, für die Bestellung des Vorstands jedoch nur, wenn dieser von den Vertretungsorganen aller übertragenden Rechtsträger bestellt worden ist.</w:t>
      </w:r>
    </w:p>
    <w:p>
      <w:r>
        <w:rPr>
          <w:color w:val="555555"/>
          <w:sz w:val="17"/>
        </w:rPr>
        <w:t xml:space="preserve">Zitiervorschlag: § 98 UmwG 1995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https://recht.nulegal.eu/gesetze/UmwG%201995/98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