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UmwG 1995 — Auseinandersetzung</w:t>
      </w:r>
    </w:p>
    <w:p>
      <w:r>
        <w:rPr>
          <w:color w:val="555555"/>
          <w:sz w:val="18"/>
        </w:rPr>
        <w:t xml:space="preserve">Umwandlungsgesetz</w:t>
      </w:r>
    </w:p>
    <w:p>
      <w:r>
        <w:rPr>
          <w:color w:val="555555"/>
          <w:sz w:val="18"/>
        </w:rPr>
        <w:t xml:space="preserve">Stand: 10.06.2019 (konsolidierte Textfassung, kein amtliches Inkrafttretensdatum)</w:t>
      </w:r>
    </w:p>
    <w:p>
      <w:r>
        <w:t xml:space="preserve">(1) Mit einem früheren Mitglied, dessen Beteiligung an dem übernehmenden Rechtsträger nach § 90 Abs. 2 als nicht erworben gilt, hat der übernehmende Rechtsträger sich auseinanderzusetzen. Maßgebend ist die Schlußbilanz der übertragenden Genossenschaft.</w:t>
      </w:r>
    </w:p>
    <w:p>
      <w:r>
        <w:t xml:space="preserve">(2) Dieses Mitglied kann die Auszahlung des Geschäftsguthabens, das es bei der übertragenden Genossenschaft hatte, verlangen; an den Rücklagen und dem sonstigen Vermögen der übertragenden Genossenschaft hat es vorbehaltlich des § 73 Abs. 3 des Genossenschaftsgesetzes keinen Anteil, auch wenn sie bei der Verschmelzung den Geschäftsguthaben anderer Mitglieder, die von dem Recht zur Ausschlagung keinen Gebrauch machen, zugerechnet werden.</w:t>
      </w:r>
    </w:p>
    <w:p>
      <w:r>
        <w:t xml:space="preserve">(3) Reichen die Geschäftsguthaben und die in der Schlußbilanz einer übertragenden Genossenschaft ausgewiesenen Rücklagen zur Deckung eines in dieser Bilanz ausgewiesenen Verlustes nicht aus, so kann der übernehmende Rechtsträger von dem früheren Mitglied, dessen Beteiligung als nicht erworben gilt, die Zahlung des anteiligen Fehlbetrags verlangen, wenn und soweit dieses Mitglied im Falle der Insolvenz Nachschüsse an die übertragende Genossenschaft zu leisten gehabt hätte. Der anteilige Fehlbetrag wird, falls die Satzung der übertragenden Genossenschaft nichts anderes bestimmt, nach der Zahl ihrer Mitglieder berechnet.</w:t>
      </w:r>
    </w:p>
    <w:p>
      <w:r>
        <w:t xml:space="preserve">(4) (weggefallen)</w:t>
      </w:r>
    </w:p>
    <w:p>
      <w:r>
        <w:rPr>
          <w:color w:val="555555"/>
          <w:sz w:val="17"/>
        </w:rPr>
        <w:t xml:space="preserve">Zitiervorschlag: § 93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