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91 UmwG 1995 — Form und Frist der Ausschlagung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Ausschlagung ist gegenüber dem übernehmenden Rechtsträger schriftlich zu erklären.</w:t>
      </w:r>
    </w:p>
    <w:p>
      <w:r>
        <w:t xml:space="preserve">(2) Die Ausschlagung kann nur binnen sechs Monaten nach dem Tage erklärt werden, an dem die Eintragung der Verschmelzung in das Register des Sitzes des übernehmenden Rechtsträgers nach § 19 Abs. 3 bekannt gemacht worden ist.</w:t>
      </w:r>
    </w:p>
    <w:p>
      <w:r>
        <w:t xml:space="preserve">(3) Die Ausschlagung kann nicht unter einer Bedingung oder einer Zeitbestimmung erklärt werden.</w:t>
      </w:r>
    </w:p>
    <w:p>
      <w:r>
        <w:rPr>
          <w:color w:val="555555"/>
          <w:sz w:val="17"/>
        </w:rPr>
        <w:t xml:space="preserve">Zitiervorschlag: § 91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https://recht.nulegal.eu/gesetze/UmwG%201995/91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91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