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86 UmwG 1995 — Anlagen der Anmeldung</w:t>
      </w:r>
    </w:p>
    <w:p>
      <w:r>
        <w:rPr>
          <w:color w:val="555555"/>
          <w:sz w:val="18"/>
        </w:rPr>
        <w:t xml:space="preserve">Umwandlungsgesetz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Anmeldung der Verschmelzung ist außer den sonst erforderlichen Unterlagen auch das für die anmeldende Genossenschaft erstattete Prüfungsgutachten in Urschrift oder in öffentlich beglaubigter Abschrift beizufügen.</w:t>
      </w:r>
    </w:p>
    <w:p>
      <w:r>
        <w:t xml:space="preserve">(2) Der Anmeldung zur Eintragung in das Register des Sitzes des übernehmenden Rechtsträgers ist ferner jedes andere für eine übertragende Genossenschaft erstattete Prüfungsgutachten in Urschrift oder in öffentlich beglaubigter Abschrift beizufügen.</w:t>
      </w:r>
    </w:p>
    <w:p>
      <w:r>
        <w:rPr>
          <w:color w:val="555555"/>
          <w:sz w:val="17"/>
        </w:rPr>
        <w:t xml:space="preserve">Zitiervorschlag: § 86 UmwG 1995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https://recht.nulegal.eu/gesetze/UmwG%201995/86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