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85 UmwG 1995 — Verbesserung des Umtauschverhältnisses</w:t>
      </w:r>
    </w:p>
    <w:p>
      <w:r>
        <w:rPr>
          <w:color w:val="555555"/>
          <w:sz w:val="18"/>
        </w:rPr>
        <w:t xml:space="preserve">Umwandlungsgesetz</w:t>
      </w:r>
    </w:p>
    <w:p>
      <w:r>
        <w:rPr>
          <w:color w:val="555555"/>
          <w:sz w:val="18"/>
        </w:rPr>
        <w:t xml:space="preserve">Stand: 07.03.2023 (konsolidierte Textfassung, kein amtliches Inkrafttretensdatum)</w:t>
      </w:r>
    </w:p>
    <w:p>
      <w:r>
        <w:t xml:space="preserve">(1) § 14 Absatz 2 und § 15 sind nicht anzuwenden auf Mitglieder einer übernehmenden Genossenschaft.</w:t>
      </w:r>
    </w:p>
    <w:p>
      <w:r>
        <w:t xml:space="preserve">(2) Bei der Verschmelzung von Genossenschaften miteinander ist § 15 nur anzuwenden, wenn und soweit das Geschäftsguthaben eines Mitglieds in der übernehmenden Genossenschaft niedriger als das Geschäftsguthaben in der übertragenden Genossenschaft ist.</w:t>
      </w:r>
    </w:p>
    <w:p>
      <w:r>
        <w:t xml:space="preserve">(3) Der Anspruch nach § 15 kann auch durch Zuschreibung auf das Geschäftsguthaben erfüllt werden, soweit nicht der Gesamtbetrag der Geschäftsanteile des Mitglieds bei der übernehmenden Genossenschaft überschritten wird.</w:t>
      </w:r>
    </w:p>
    <w:p>
      <w:r>
        <w:rPr>
          <w:color w:val="555555"/>
          <w:sz w:val="17"/>
        </w:rPr>
        <w:t xml:space="preserve">Zitiervorschlag: § 85 UmwG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https://recht.nulegal.eu/gesetze/UmwG%201995/85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