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83 UmwG 1995 — Durchführung der Generalversammlung</w:t>
      </w:r>
    </w:p>
    <w:p>
      <w:r>
        <w:rPr>
          <w:color w:val="555555"/>
          <w:sz w:val="18"/>
        </w:rPr>
        <w:t xml:space="preserve">Umwandlungsgesetz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der Generalversammlung sind die in § 63 Abs. 1 Nr. 1 bis 4 bezeichneten Unterlagen sowie die nach § 81 erstatteten Prüfungsgutachten auszulegen. Der Vorstand hat den Verschmelzungsvertrag oder seinen Entwurf zu Beginn der Verhandlung mündlich zu erläutern. § 64 Abs. 2 ist entsprechend anzuwenden.</w:t>
      </w:r>
    </w:p>
    <w:p>
      <w:r>
        <w:t xml:space="preserve">(2) Das für die beschließende Genossenschaft erstattete Prüfungsgutachten ist in der Generalversammlung zu verlesen. Der Prüfungsverband ist berechtigt, an der Generalversammlung beratend teilzunehmen.</w:t>
      </w:r>
    </w:p>
    <w:p>
      <w:r>
        <w:rPr>
          <w:color w:val="555555"/>
          <w:sz w:val="17"/>
        </w:rPr>
        <w:t xml:space="preserve">Zitiervorschlag: § 83 UmwG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https://recht.nulegal.eu/gesetze/UmwG%201995/83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