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76 UmwG 1995 — Verschmelzungsbeschlüsse</w:t>
      </w:r>
    </w:p>
    <w:p>
      <w:r>
        <w:rPr>
          <w:color w:val="555555"/>
          <w:sz w:val="18"/>
        </w:rPr>
        <w:t xml:space="preserve">Umwandlungsgesetz</w:t>
      </w:r>
    </w:p>
    <w:p>
      <w:r>
        <w:rPr>
          <w:color w:val="555555"/>
          <w:sz w:val="18"/>
        </w:rPr>
        <w:t xml:space="preserve">Stand: 07.03.2023 (konsolidierte Textfassung, kein amtliches Inkrafttretensdatum)</w:t>
      </w:r>
    </w:p>
    <w:p>
      <w:r>
        <w:t xml:space="preserve">Die Satzung der neuen Gesellschaft wird nur wirksam, wenn ihr die Anteilsinhaber jedes der übertragenden Rechtsträger durch Verschmelzungsbeschluß zustimmen. Dies gilt entsprechend für die Bestellung der Mitglieder des Aufsichtsrats der neuen Gesellschaft, soweit diese nach § 31 des Aktiengesetzes zu wählen sind. Auf eine übertragende Aktiengesellschaft ist § 124 Abs. 2 Satz 3, Abs. 3 Satz 1 und 3 des Aktiengesetzes entsprechend anzuwenden.</w:t>
      </w:r>
    </w:p>
    <w:p>
      <w:r>
        <w:rPr>
          <w:color w:val="555555"/>
          <w:sz w:val="17"/>
        </w:rPr>
        <w:t xml:space="preserve">Zitiervorschlag: § 76 UmwG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https://recht.nulegal.eu/gesetze/UmwG%201995/76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