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UmwG 1995 — Verschmelzung mit Kapitalerhöhung</w:t>
      </w:r>
    </w:p>
    <w:p>
      <w:r>
        <w:rPr>
          <w:color w:val="555555"/>
          <w:sz w:val="18"/>
        </w:rPr>
        <w:t xml:space="preserve">Umwandlungsgesetz</w:t>
      </w:r>
    </w:p>
    <w:p>
      <w:r>
        <w:rPr>
          <w:color w:val="555555"/>
          <w:sz w:val="18"/>
        </w:rPr>
        <w:t xml:space="preserve">Stand: 01.01.2024 (konsolidierte Textfassung, kein amtliches Inkrafttretensdatum)</w:t>
      </w:r>
    </w:p>
    <w:p>
      <w:r>
        <w:t xml:space="preserve">(1) Erhöht die übernehmende Gesellschaft zur Durchführung der Verschmelzung ihr Grundkapital, so sind § 182 Abs. 4, § 184 Abs. 1 Satz 2, §§ 185, 186, 187 Abs. 1, § 188 Abs. 2 und 3 Nr. 1 des Aktiengesetzes nicht anzuwenden; eine Prüfung der Sacheinlage nach § 183 Abs. 3 des Aktiengesetzes findet nur statt, soweit übertragende Rechtsträger die Rechtsform einer rechtsfähigen Personengesellschaft oder eines rechtsfähigen Vereins haben, wenn Vermögensgegenstände in der Schlußbilanz eines übertragenden Rechtsträgers höher bewertet worden sind als in dessen letzter Jahresbilanz, wenn die in einer Schlußbilanz angesetzten Werte nicht als Anschaffungskosten in den Jahresbilanzen der übernehmenden Gesellschaft angesetzt werden oder wenn das Gericht Zweifel hat, ob der Wert der Sacheinlage den geringsten Ausgabebetrag der dafür zu gewährenden Aktien erreicht. Dies gilt auch dann, wenn das Grundkapital durch Ausgabe neuer Aktien auf Grund der Ermächtigung nach § 202 des Aktiengesetzes erhöht wird. In diesem Fall ist außerdem § 203 Abs. 3 des Aktiengesetzes nicht anzuwenden. Zum Prüfer kann der Verschmelzungsprüfer bestellt werden.</w:t>
      </w:r>
    </w:p>
    <w:p>
      <w:r>
        <w:t xml:space="preserve">(2) Der Anmeldung der Kapitalerhöhung zum Register sind außer den in § 188 Abs. 3 Nr. 2 und 3 des Aktiengesetzes bezeichneten Schriftstücken der Verschmelzungsvertrag und die Niederschriften der Verschmelzungsbeschlüsse in Ausfertigung oder öffentlich beglaubigter Abschrift beizufügen.</w:t>
      </w:r>
    </w:p>
    <w:p>
      <w:r>
        <w:t xml:space="preserve">(3) Für den Beschluss über die Kapitalerhöhung nach Absatz 1 gilt § 14 Absatz 2 entsprechend.</w:t>
      </w:r>
    </w:p>
    <w:p>
      <w:r>
        <w:rPr>
          <w:color w:val="555555"/>
          <w:sz w:val="17"/>
        </w:rPr>
        <w:t xml:space="preserve">Zitiervorschlag: § 69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