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UmwG 1995 — Anwendung der Vorschriften über die Nachgründung</w:t>
      </w:r>
    </w:p>
    <w:p>
      <w:r>
        <w:rPr>
          <w:color w:val="555555"/>
          <w:sz w:val="18"/>
        </w:rPr>
        <w:t xml:space="preserve">Umwandlungsgesetz</w:t>
      </w:r>
    </w:p>
    <w:p>
      <w:r>
        <w:rPr>
          <w:color w:val="555555"/>
          <w:sz w:val="18"/>
        </w:rPr>
        <w:t xml:space="preserve">Stand: 10.06.2019 (konsolidierte Textfassung, kein amtliches Inkrafttretensdatum)</w:t>
      </w:r>
    </w:p>
    <w:p>
      <w:r>
        <w:t xml:space="preserve">Wird der Verschmelzungsvertrag in den ersten zwei Jahren seit Eintragung der übernehmenden Gesellschaft in das Register geschlossen, so ist § 52 Abs. 3, 4, 6 bis 9 des Aktiengesetzes über die Nachgründung entsprechend anzuwenden. Dies gilt nicht, wenn auf die zu gewährenden Aktien nicht mehr als der zehnte Teil des Grundkapitals dieser Gesellschaft entfällt oder wenn diese Gesellschaft ihre Rechtsform durch Formwechsel einer Gesellschaft mit beschränkter Haftung erlangt hat, die zuvor bereits seit mindestens zwei Jahren im Handelsregister eingetragen war. Wird zur Durchführung der Verschmelzung das Grundkapital erhöht, so ist der Berechnung das erhöhte Grundkapital zugrunde zu legen.</w:t>
      </w:r>
    </w:p>
    <w:p>
      <w:r>
        <w:rPr>
          <w:color w:val="555555"/>
          <w:sz w:val="17"/>
        </w:rPr>
        <w:t xml:space="preserve">Zitiervorschlag: § 67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