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UmwG 1995 — Verschmelzungsbeschlüsse</w:t>
      </w:r>
    </w:p>
    <w:p>
      <w:r>
        <w:rPr>
          <w:color w:val="555555"/>
          <w:sz w:val="18"/>
        </w:rPr>
        <w:t xml:space="preserve">Umwandlungsgesetz</w:t>
      </w:r>
    </w:p>
    <w:p>
      <w:r>
        <w:rPr>
          <w:color w:val="555555"/>
          <w:sz w:val="18"/>
        </w:rPr>
        <w:t xml:space="preserve">Stand: 10.06.2019 (konsolidierte Textfassung, kein amtliches Inkrafttretensdatum)</w:t>
      </w:r>
    </w:p>
    <w:p>
      <w:r>
        <w:t xml:space="preserve">Der Gesellschaftsvertrag der neuen Gesellschaft wird nur wirksam, wenn ihm die Anteilsinhaber jedes der übertragenden Rechtsträger durch Verschmelzungsbeschluß zustimmen. Dies gilt entsprechend für die Bestellung der Geschäftsführer und der Mitglieder des Aufsichtsrats der neuen Gesellschaft, soweit sie von den Anteilsinhabern der übertragenden Rechtsträger zu wählen sind.</w:t>
      </w:r>
    </w:p>
    <w:p>
      <w:r>
        <w:rPr>
          <w:color w:val="555555"/>
          <w:sz w:val="17"/>
        </w:rPr>
        <w:t xml:space="preserve">Zitiervorschlag: § 59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