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UmwG 1995 — Vorbereitung der Gesellschafterversammlung</w:t>
      </w:r>
    </w:p>
    <w:p>
      <w:r>
        <w:rPr>
          <w:color w:val="555555"/>
          <w:sz w:val="18"/>
        </w:rPr>
        <w:t xml:space="preserve">Umwandlungsgesetz</w:t>
      </w:r>
    </w:p>
    <w:p>
      <w:r>
        <w:rPr>
          <w:color w:val="555555"/>
          <w:sz w:val="18"/>
        </w:rPr>
        <w:t xml:space="preserve">Stand: 10.06.2019 (konsolidierte Textfassung, kein amtliches Inkrafttretensdatum)</w:t>
      </w:r>
    </w:p>
    <w:p>
      <w:r>
        <w:t xml:space="preserve">(1) Die Geschäftsführer haben in der Einberufung der Gesellschafterversammlung, die gemäß § 13 Abs. 1 über die Zustimmung zum Verschmelzungsvertrag beschließen soll, die Verschmelzung als Gegenstand der Beschlußfassung anzukündigen.</w:t>
      </w:r>
    </w:p>
    <w:p>
      <w:r>
        <w:t xml:space="preserve">(2) Von der Einberufung an sind in dem Geschäftsraum der Gesellschaft die Jahresabschlüsse und die Lageberichte der an der Verschmelzung beteiligten Rechtsträger für die letzten drei Geschäftsjahre zur Einsicht durch die Gesellschafter auszulegen.</w:t>
      </w:r>
    </w:p>
    <w:p>
      <w:r>
        <w:t xml:space="preserve">(3) Die Geschäftsführer haben jedem Gesellschafter auf Verlangen jederzeit Auskunft auch über alle für die Verschmelzung wesentlichen Angelegenheiten der anderen beteiligten Rechtsträger zu geben.</w:t>
      </w:r>
    </w:p>
    <w:p>
      <w:r>
        <w:rPr>
          <w:color w:val="555555"/>
          <w:sz w:val="17"/>
        </w:rPr>
        <w:t xml:space="preserve">Zitiervorschlag: § 49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