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45d UmwG 1995 — Beschluß der Gesellschafterversammlung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Verschmelzungsbeschluß der Gesellschafterversammlung bedarf der Zustimmung aller anwesenden Partner; ihm müssen auch die nicht erschienenen Partner zustimmen.</w:t>
      </w:r>
    </w:p>
    <w:p>
      <w:r>
        <w:t xml:space="preserve">(2) Der Partnerschaftsvertrag kann eine Mehrheitsentscheidung der Partner vorsehen. Die Mehrheit muß mindestens drei Viertel der abgegebenen Stimmen betragen.</w:t>
      </w:r>
    </w:p>
    <w:p>
      <w:r>
        <w:rPr>
          <w:color w:val="555555"/>
          <w:sz w:val="17"/>
        </w:rPr>
        <w:t xml:space="preserve">Zitiervorschlag: § 45d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https://recht.nulegal.eu/gesetze/UmwG%201995/45d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