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UmwG 1995 — Verschmelzungsvertrag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Vertretungsorgane der an der Verschmelzung beteiligten Rechtsträger schließen einen Verschmelzungsvertrag. § 311b Abs. 2 des Bürgerlichen Gesetzbuchs gilt für ihn nicht.</w:t>
      </w:r>
    </w:p>
    <w:p>
      <w:r>
        <w:t xml:space="preserve">(2) Soll der Vertrag nach einem der nach § 13 erforderlichen Beschlüsse geschlossen werden, so ist vor diesem Beschluß ein schriftlicher Entwurf des Vertrags aufzustellen.</w:t>
      </w:r>
    </w:p>
    <w:p>
      <w:r>
        <w:rPr>
          <w:color w:val="555555"/>
          <w:sz w:val="17"/>
        </w:rPr>
        <w:t xml:space="preserve">Zitiervorschlag: § 4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