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39f UmwG 1995 — Zeitliche Begrenzung der Haftung persönlich haftender Gesellschafter</w:t>
      </w:r>
    </w:p>
    <w:p>
      <w:r>
        <w:rPr>
          <w:color w:val="555555"/>
          <w:sz w:val="18"/>
        </w:rPr>
        <w:t xml:space="preserve">Umwandlungsgesetz</w:t>
      </w:r>
    </w:p>
    <w:p>
      <w:r>
        <w:rPr>
          <w:color w:val="555555"/>
          <w:sz w:val="18"/>
        </w:rPr>
        <w:t xml:space="preserve">Stand: 01.01.2024 (konsolidierte Textfassung, kein amtliches Inkrafttretensdatum)</w:t>
      </w:r>
    </w:p>
    <w:p>
      <w:r>
        <w:t xml:space="preserve">(1) Überträgt eine Gesellschaft bürgerlichen Rechts ihr Vermögen durch Verschmelzung auf einen Rechtsträger anderer Rechtsform, dessen Anteilsinhaber für die Verbindlichkeiten dieses Rechtsträgers nicht unbeschränkt haften, haftet ein Gesellschafter der Gesellschaft bürgerlichen Rechts für deren Verbindlichkeiten, wenn sie vor Ablauf von fünf Jahren nach der Verschmelzung fällig und daraus Ansprüche gegen ihn in einer in § 197 Absatz 1 Nummer 3 bis 5 des Bürgerlichen Gesetzbuchs bezeichneten Art festgestellt sind oder eine gerichtliche oder behördliche Vollstreckungshandlung vorgenommen oder beantragt wird; bei öffentlich-rechtlichen Verbindlichkeiten genügt der Erlass eines Verwaltungsakts.</w:t>
      </w:r>
    </w:p>
    <w:p>
      <w:r>
        <w:t xml:space="preserve">(2) Die Frist beginnt mit dem Tag, an dem die Eintragung der Verschmelzung in das Register des Sitzes des übernehmenden Rechtsträgers nach § 19 Absatz 3 bekannt gemacht worden ist. Die §§ 204, 206, 210, 211 und 212 Absatz 2 und 3 des Bürgerlichen Gesetzbuchs sind entsprechend anzuwenden.</w:t>
      </w:r>
    </w:p>
    <w:p>
      <w:r>
        <w:t xml:space="preserve">(3) Einer Feststellung in einer in § 197 Absatz 1 Nummer 3 bis 5 des Bürgerlichen Gesetzbuchs bezeichneten Art bedarf es nicht, soweit der Gesellschafter den Anspruch schriftlich anerkannt hat.</w:t>
      </w:r>
    </w:p>
    <w:p>
      <w:r>
        <w:t xml:space="preserve">(4) Die Absätze 1 bis 3 sind auch anzuwenden, wenn der Gesellschafter in dem Rechtsträger anderer Rechtsform geschäftsführend tätig wird.</w:t>
      </w:r>
    </w:p>
    <w:p>
      <w:r>
        <w:rPr>
          <w:color w:val="555555"/>
          <w:sz w:val="17"/>
        </w:rPr>
        <w:t xml:space="preserve">Zitiervorschlag: § 39f UmwG 1995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https://recht.nulegal.eu/gesetze/UmwG%201995/39f</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