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39e UmwG 1995 — Prüfung der Verschmelzung</w:t>
      </w:r>
    </w:p>
    <w:p>
      <w:r>
        <w:rPr>
          <w:color w:val="555555"/>
          <w:sz w:val="18"/>
        </w:rPr>
        <w:t xml:space="preserve">Umwandlungsgesetz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Im Fall des § 39c Absatz 2 ist der Verschmelzungsvertrag oder sein Entwurf für eine Gesellschaft bürgerlichen Rechts nach den §§ 9 bis 12 zu prüfen, wenn dies einer ihrer Gesellschafter innerhalb einer Frist von einer Woche verlangt, nachdem er die in § 39b genannten Unterlagen erhalten hat. Die Kosten der Prüfung trägt die Gesellschaft.</w:t>
      </w:r>
    </w:p>
    <w:p>
      <w:r>
        <w:rPr>
          <w:color w:val="555555"/>
          <w:sz w:val="17"/>
        </w:rPr>
        <w:t xml:space="preserve">Zitiervorschlag: § 39e UmwG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https://recht.nulegal.eu/gesetze/UmwG%201995/39e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