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39c UmwG 1995 — Beschluss der Gesellschafterversammlung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Der Verschmelzungsbeschluss der Gesellschafterversammlung bedarf der Zustimmung aller anwesenden Gesellschafter; ihm müssen auch die nicht erschienenen Gesellschafter zustimmen.</w:t>
      </w:r>
    </w:p>
    <w:p>
      <w:r>
        <w:t xml:space="preserve">(2) Der Gesellschaftsvertrag kann eine Mehrheitsentscheidung der Gesellschafter vorsehen. Die Mehrheit muss mindestens drei Viertel der abgegebenen Stimmen betragen.</w:t>
      </w:r>
    </w:p>
    <w:p>
      <w:r>
        <w:rPr>
          <w:color w:val="555555"/>
          <w:sz w:val="17"/>
        </w:rPr>
        <w:t xml:space="preserve">Zitiervorschlag: § 39c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https://recht.nulegal.eu/gesetze/UmwG%201995/39c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