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UmwG 1995 — Anmeldung der Verschmelzung und des neuen Rechtsträgers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Vertretungsorgane jedes der übertragenden Rechtsträger haben die Verschmelzung zur Eintragung in das Register des Sitzes ihres Rechtsträgers anzumelden.</w:t>
      </w:r>
    </w:p>
    <w:p>
      <w:r>
        <w:t xml:space="preserve">(2) Die Vertretungsorgane aller übertragenden Rechtsträger haben den neuen Rechtsträger bei dem Gericht, in dessen Bezirk er seinen Sitz haben soll, zur Eintragung in das Register anzumelden.</w:t>
      </w:r>
    </w:p>
    <w:p>
      <w:r>
        <w:rPr>
          <w:color w:val="555555"/>
          <w:sz w:val="17"/>
        </w:rPr>
        <w:t xml:space="preserve">Zitiervorschlag: § 38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