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35a UmwG 1995 — Interessenausgleich und Betriebsübergang</w:t>
      </w:r>
    </w:p>
    <w:p>
      <w:r>
        <w:rPr>
          <w:color w:val="555555"/>
          <w:sz w:val="18"/>
        </w:rPr>
        <w:t xml:space="preserve">Umwandlungsgesetz</w:t>
      </w:r>
    </w:p>
    <w:p>
      <w:r>
        <w:rPr>
          <w:color w:val="555555"/>
          <w:sz w:val="18"/>
        </w:rPr>
        <w:t xml:space="preserve">Stand: 07.03.2023 (konsolidierte Textfassung, kein amtliches Inkrafttretensdatum)</w:t>
      </w:r>
    </w:p>
    <w:p>
      <w:r>
        <w:t xml:space="preserve">(1) Kommt ein Interessenausgleich nach § 112 des Betriebsverfassungsgesetzes zustande, in dem diejenigen Arbeitnehmer namentlich bezeichnet werden, die nach der Verschmelzung einem bestimmten Betrieb oder Betriebsteil zugeordnet werden, so kann die Zuordnung der Arbeitnehmer durch das Arbeitsgericht nur auf grobe Fehlerhaftigkeit überprüft werden.</w:t>
      </w:r>
    </w:p>
    <w:p>
      <w:r>
        <w:t xml:space="preserve">(2) § 613a Absatz 1 und 4 bis 6 des Bürgerlichen Gesetzbuchs bleibt durch die Wirkungen der Eintragung einer Verschmelzung unberührt.</w:t>
      </w:r>
    </w:p>
    <w:p>
      <w:r>
        <w:rPr>
          <w:color w:val="555555"/>
          <w:sz w:val="17"/>
        </w:rPr>
        <w:t xml:space="preserve">Zitiervorschlag: § 35a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https://recht.nulegal.eu/gesetze/UmwG%201995/35a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