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35 UmwG 1995 — Bezeichnung unbekannter Aktionäre; Ruhen des Stimmrechts</w:t>
      </w:r>
    </w:p>
    <w:p>
      <w:r>
        <w:rPr>
          <w:color w:val="555555"/>
          <w:sz w:val="18"/>
        </w:rPr>
        <w:t xml:space="preserve">Umwandlungsgesetz</w:t>
      </w:r>
    </w:p>
    <w:p>
      <w:r>
        <w:rPr>
          <w:color w:val="555555"/>
          <w:sz w:val="18"/>
        </w:rPr>
        <w:t xml:space="preserve">Stand: 10.06.2019 (konsolidierte Textfassung, kein amtliches Inkrafttretensdatum)</w:t>
      </w:r>
    </w:p>
    <w:p>
      <w:r>
        <w:t xml:space="preserve">Unbekannte Aktionäre einer übertragenden Aktiengesellschaft oder Kommanditgesellschaft auf Aktien sind im Verschmelzungsvertrag, bei Anmeldungen zur Eintragung in ein Register oder bei der Eintragung in eine Liste von Anteilsinhabern durch die Angabe des insgesamt auf sie entfallenden Teils des Grundkapitals der Gesellschaft und der auf sie nach der Verschmelzung entfallenden Anteile zu bezeichnen, soweit eine Benennung der Anteilsinhaber für den übernehmenden Rechtsträger gesetzlich vorgeschrieben ist; eine Bezeichnung in dieser Form ist nur zulässig für Anteilsinhaber, deren Anteile zusammen den zwanzigsten Teil des Grundkapitals der übertragenden Gesellschaft nicht überschreiten. Werden solche Anteilsinhaber später bekannt, so sind Register oder Listen von Amts wegen zu berichtigen. Bis zu diesem Zeitpunkt kann das Stimmrecht aus den betreffenden Anteilen in dem übernehmenden Rechtsträger nicht ausgeübt werden.</w:t>
      </w:r>
    </w:p>
    <w:p>
      <w:r>
        <w:rPr>
          <w:color w:val="555555"/>
          <w:sz w:val="17"/>
        </w:rPr>
        <w:t xml:space="preserve">Zitiervorschlag: § 35 UmwG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https://recht.nulegal.eu/gesetze/UmwG%201995/35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35 UmwG 1995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