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348 UmwG 1995 — Falsche Angaben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Mit Freiheitsstrafe bis zu drei Jahren oder mit Geldstrafe wird bestraft, wer</w:t>
      </w:r>
    </w:p>
    <w:p>
      <w:pPr>
        <w:ind w:left="420"/>
      </w:pPr>
      <w:r>
        <w:t xml:space="preserve">1. entgegen § 315 Absatz 3 Satz 1 Nummer 1 oder 4 oder § 316 Absatz 2 Satz 5, jeweils auch in Verbindung mit § 329 Satz 1, entgegen § 342 Absatz 3 Satz 1 Nummer 1 oder 4 oder § 343 Absatz 2 Satz 5 eine Versicherung nicht richtig abgibt oder</w:t>
      </w:r>
    </w:p>
    <w:p>
      <w:pPr>
        <w:ind w:left="420"/>
      </w:pPr>
      <w:r>
        <w:t xml:space="preserve">2. entgegen § 315 Absatz 3 Satz 2, auch in Verbindung mit § 329 Satz 1, oder entgegen § 342 Absatz 3 Satz 2 eine Mitteilung nicht richtig macht.</w:t>
      </w:r>
    </w:p>
    <w:p>
      <w:r>
        <w:rPr>
          <w:color w:val="555555"/>
          <w:sz w:val="17"/>
        </w:rPr>
        <w:t xml:space="preserve">Zitiervorschlag: § 348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https://recht.nulegal.eu/gesetze/UmwG%201995/348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