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335 UmwG 1995 — Formwechselplan</w:t>
      </w:r>
    </w:p>
    <w:p>
      <w:r>
        <w:rPr>
          <w:color w:val="555555"/>
          <w:sz w:val="18"/>
        </w:rPr>
        <w:t xml:space="preserve">Umwandlungsgesetz</w:t>
      </w:r>
    </w:p>
    <w:p>
      <w:r>
        <w:rPr>
          <w:color w:val="555555"/>
          <w:sz w:val="18"/>
        </w:rPr>
        <w:t xml:space="preserve">Stand: 07.03.2023 (konsolidierte Textfassung, kein amtliches Inkrafttretensdatum)</w:t>
      </w:r>
    </w:p>
    <w:p>
      <w:r>
        <w:t xml:space="preserve">(1) Das Vertretungsorgan der grenzüberschreitend formwechselnden Gesellschaft stellt einen Formwechselplan auf.</w:t>
      </w:r>
    </w:p>
    <w:p>
      <w:r>
        <w:t xml:space="preserve">(2) Der Formwechselplan oder sein Entwurf muss mindestens folgende Angaben enthalten:</w:t>
      </w:r>
    </w:p>
    <w:p>
      <w:pPr>
        <w:ind w:left="420"/>
      </w:pPr>
      <w:r>
        <w:t xml:space="preserve">1. Rechtsform, Firma und Sitz der formwechselnden Gesellschaft,</w:t>
      </w:r>
    </w:p>
    <w:p>
      <w:pPr>
        <w:ind w:left="420"/>
      </w:pPr>
      <w:r>
        <w:t xml:space="preserve">2. die Rechtsform, die die Gesellschaft durch den Formwechsel erlangen soll,</w:t>
      </w:r>
    </w:p>
    <w:p>
      <w:pPr>
        <w:ind w:left="420"/>
      </w:pPr>
      <w:r>
        <w:t xml:space="preserve">3. die Firma und den Sitz der Gesellschaft neuer Rechtsform,</w:t>
      </w:r>
    </w:p>
    <w:p>
      <w:pPr>
        <w:ind w:left="420"/>
      </w:pPr>
      <w:r>
        <w:t xml:space="preserve">4. sofern einschlägig den Errichtungsakt der Gesellschaft neuer Rechtsform und, falls sie Gegenstand eines gesonderten Aktes ist, die Satzung,</w:t>
      </w:r>
    </w:p>
    <w:p>
      <w:pPr>
        <w:ind w:left="420"/>
      </w:pPr>
      <w:r>
        <w:t xml:space="preserve">5. den vorgesehenen indikativen Zeitplan für den grenzüberschreitenden Formwechsel,</w:t>
      </w:r>
    </w:p>
    <w:p>
      <w:pPr>
        <w:ind w:left="420"/>
      </w:pPr>
      <w:r>
        <w:t xml:space="preserve">6. die Beteiligung der bisherigen Anteilsinhaber an dem Rechtsträger nach den für die neue Rechtsform geltenden Vorschriften sowie Zahl, Art und Umfang der Anteile, welche die Anteilsinhaber durch den Formwechsel erlangen sollen,</w:t>
      </w:r>
    </w:p>
    <w:p>
      <w:pPr>
        <w:ind w:left="420"/>
      </w:pPr>
      <w:r>
        <w:t xml:space="preserve">7. die Rechte, die die Gesellschaft neuer Rechtsform den mit Sonderrechten ausgestatteten Anteilsinhabern und den Inhabern von anderen Wertpapieren als Gesellschaftsanteilen gewährt, oder die für diese Personen vorgeschlagenen Maßnahmen,</w:t>
      </w:r>
    </w:p>
    <w:p>
      <w:pPr>
        <w:ind w:left="420"/>
      </w:pPr>
      <w:r>
        <w:t xml:space="preserve">8. die Sicherheiten, die den Gläubigern angeboten werden,</w:t>
      </w:r>
    </w:p>
    <w:p>
      <w:pPr>
        <w:ind w:left="420"/>
      </w:pPr>
      <w:r>
        <w:t xml:space="preserve">9. die etwaigen besonderen Vorteile, die den Mitgliedern der Verwaltungs-, Leitungs-, Aufsichts- oder Kontrollorgane der Gesellschaft gewährt werden,</w:t>
      </w:r>
    </w:p>
    <w:p>
      <w:pPr>
        <w:ind w:left="420"/>
      </w:pPr>
      <w:r>
        <w:t xml:space="preserve">10. eine Darstellung der Förderungen oder Beihilfen, die die Gesellschaft in den letzten fünf Jahren erhalten hat,</w:t>
      </w:r>
    </w:p>
    <w:p>
      <w:pPr>
        <w:ind w:left="420"/>
      </w:pPr>
      <w:r>
        <w:t xml:space="preserve">11. die Einzelheiten zum Angebot einer Barabfindung gemäß § 340,</w:t>
      </w:r>
    </w:p>
    <w:p>
      <w:pPr>
        <w:ind w:left="420"/>
      </w:pPr>
      <w:r>
        <w:t xml:space="preserve">12. die voraussichtlichen Auswirkungen des grenzüberschreitenden Formwechsels auf die Beschäftigung der Arbeitnehmer,</w:t>
      </w:r>
    </w:p>
    <w:p>
      <w:pPr>
        <w:ind w:left="420"/>
      </w:pPr>
      <w:r>
        <w:t xml:space="preserve">13. gegebenenfalls Angaben zu dem Verfahren, nach dem die Einzelheiten der Beteiligung der Arbeitnehmer an der Festlegung ihrer Mitbestimmungsrechte in der Gesellschaft neuer Rechtsform geregelt werden, sowie</w:t>
      </w:r>
    </w:p>
    <w:p>
      <w:pPr>
        <w:ind w:left="420"/>
      </w:pPr>
      <w:r>
        <w:t xml:space="preserve">14. die Auswirkungen des grenzüberschreitenden Formwechsels auf Betriebsrenten und Betriebsrentenanwartschaften.</w:t>
      </w:r>
    </w:p>
    <w:p>
      <w:r>
        <w:t xml:space="preserve">(3) Der Formwechselplan muss notariell beurkundet werden.</w:t>
      </w:r>
    </w:p>
    <w:p>
      <w:r>
        <w:rPr>
          <w:color w:val="555555"/>
          <w:sz w:val="17"/>
        </w:rPr>
        <w:t xml:space="preserve">Zitiervorschlag: § 335 UmwG 1995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https://recht.nulegal.eu/gesetze/UmwG%201995/335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