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334 UmwG 1995 — Formwechselfähige Gesellschaften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Im Rahmen eines grenzüberschreitenden Formwechsels können formwechselnde Gesellschaften und Gesellschaften neuer Rechtsform Kapitalgesellschaften mit einer in Anhang II zur Richtlinie (EU) 2017/1132 genannten Rechtsform sein, wenn sie</w:t>
      </w:r>
    </w:p>
    <w:p>
      <w:pPr>
        <w:ind w:left="420"/>
      </w:pPr>
      <w:r>
        <w:t xml:space="preserve">1. nach dem Recht eines Mitgliedstaats der Europäischen Union oder eines anderen Vertragsstaats des Abkommens über den Europäischen Wirtschaftsraum gegründet worden sind und</w:t>
      </w:r>
    </w:p>
    <w:p>
      <w:pPr>
        <w:ind w:left="420"/>
      </w:pPr>
      <w:r>
        <w:t xml:space="preserve">2. ihren satzungsmäßigen Sitz, ihre Hauptverwaltung oder ihre Hauptniederlassung in einem Mitgliedstaat der Europäischen Union oder einem anderen Vertragsstaat des Abkommens über den Europäischen Wirtschaftsraum haben.</w:t>
      </w:r>
    </w:p>
    <w:p>
      <w:r>
        <w:t xml:space="preserve">§ 306 Absatz 2 Satz 1 Nummer 2 gilt entsprechend.</w:t>
      </w:r>
    </w:p>
    <w:p>
      <w:r>
        <w:rPr>
          <w:color w:val="555555"/>
          <w:sz w:val="17"/>
        </w:rPr>
        <w:t xml:space="preserve">Zitiervorschlag: § 334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