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331 UmwG 1995 — Eintragung der neuen Gesellschaft</w:t>
      </w:r>
    </w:p>
    <w:p>
      <w:r>
        <w:rPr>
          <w:color w:val="555555"/>
          <w:sz w:val="18"/>
        </w:rPr>
        <w:t xml:space="preserve">Umwandlungsgesetz</w:t>
      </w:r>
    </w:p>
    <w:p>
      <w:r>
        <w:rPr>
          <w:color w:val="555555"/>
          <w:sz w:val="18"/>
        </w:rPr>
        <w:t xml:space="preserve">Stand: 07.03.2023 (konsolidierte Textfassung, kein amtliches Inkrafttretensdatum)</w:t>
      </w:r>
    </w:p>
    <w:p>
      <w:r>
        <w:t xml:space="preserve">(1) Das Vertretungsorgan der übertragenden Gesellschaft hat die neue Gesellschaft zur Eintragung in das Register des Sitzes der neuen Gesellschaft anzumelden. Der Anmeldung sind in der Form des § 17 Absatz 1 der Spaltungsplan und gegebenenfalls die Vereinbarung über die Beteiligung der Arbeitnehmer beizufügen. § 16 Absatz 2 und 3 sowie § 17 sind auf die übertragende Gesellschaft nicht anzuwenden.</w:t>
      </w:r>
    </w:p>
    <w:p>
      <w:r>
        <w:t xml:space="preserve">(2) Die über das Europäische System der Registervernetzung übermittelte Spaltungsbescheinigung wird als Nachweis der ordnungsgemäßen Erledigung der vorangehenden Verfahren und Formalitäten nach dem Recht desjenigen Staates, dem die übertragende Gesellschaft unterliegt, anerkannt. Ohne diese Spaltungsbescheinigung kann die grenzüberschreitende Spaltung nicht in das Register eingetragen werden.</w:t>
      </w:r>
    </w:p>
    <w:p>
      <w:r>
        <w:t xml:space="preserve">(3) Die Prüfung der Eintragungsvoraussetzungen erstreckt sich insbesondere darauf, ob gegebenenfalls eine Vereinbarung über die Beteiligung der Arbeitnehmer geschlossen worden ist und ob die Vorschriften zur Gründung der neuen Gesellschaft eingehalten worden sind.</w:t>
      </w:r>
    </w:p>
    <w:p>
      <w:r>
        <w:t xml:space="preserve">(4) Die Eintragung der neuen Gesellschaft ist mit dem Vermerk zu versehen, dass sie unter den Voraussetzungen wirksam wird, unter denen die grenzüberschreitende Spaltung nach dem Recht des Staates, dem die übertragende Gesellschaft unterliegt, wirksam wird. Das Gericht des Sitzes der neuen Gesellschaft hat von Amts wegen dem Gericht des Sitzes der übertragenden Gesellschaft mitzuteilen, dass die neue Gesellschaft eingetragen wurde.</w:t>
      </w:r>
    </w:p>
    <w:p>
      <w:r>
        <w:t xml:space="preserve">(5) Nach Eingang der Mitteilung des Registers, in dem die übertragende Gesellschaft eingetragen ist, über das Wirksamwerden der grenzüberschreitenden Spaltung ist in dem Register des Sitzes der neuen Gesellschaft der Tag des Wirksamwerdens der Spaltung einzutragen.</w:t>
      </w:r>
    </w:p>
    <w:p>
      <w:r>
        <w:rPr>
          <w:color w:val="555555"/>
          <w:sz w:val="17"/>
        </w:rPr>
        <w:t xml:space="preserve">Zitiervorschlag: § 331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