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329 UmwG 1995 — Anmeldung und Spaltungsbescheinigung</w:t>
      </w:r>
    </w:p>
    <w:p>
      <w:r>
        <w:rPr>
          <w:color w:val="555555"/>
          <w:sz w:val="18"/>
        </w:rPr>
        <w:t xml:space="preserve">Umwandlungsgesetz</w:t>
      </w:r>
    </w:p>
    <w:p>
      <w:r>
        <w:rPr>
          <w:color w:val="555555"/>
          <w:sz w:val="18"/>
        </w:rPr>
        <w:t xml:space="preserve">Stand: 07.03.2023 (konsolidierte Textfassung, kein amtliches Inkrafttretensdatum)</w:t>
      </w:r>
    </w:p>
    <w:p>
      <w:r>
        <w:t xml:space="preserve">Die §§ 315 bis 317 sind mit Ausnahme des § 315 Absatz 3 Satz 1 Nummer 3 zweite Alternative sowie des § 316 Absatz 1 Satz 2, 3 und 4 entsprechend anzuwenden. Die Eintragung ist mit dem Vermerk zu versehen, dass die grenzüberschreitende Spaltung erst mit ihrer Eintragung gemäß § 330 wirksam wird. Über die Eintragung stellt das Gericht von Amts wegen eine Spaltungsbescheinigung aus.</w:t>
      </w:r>
    </w:p>
    <w:p>
      <w:r>
        <w:rPr>
          <w:color w:val="555555"/>
          <w:sz w:val="17"/>
        </w:rPr>
        <w:t xml:space="preserve">Zitiervorschlag: § 329 UmwG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https://recht.nulegal.eu/gesetze/UmwG%201995/329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