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324 UmwG 1995 — Spaltungsbericht</w:t>
      </w:r>
    </w:p>
    <w:p>
      <w:r>
        <w:rPr>
          <w:color w:val="555555"/>
          <w:sz w:val="18"/>
        </w:rPr>
        <w:t xml:space="preserve">Umwandlungsgesetz</w:t>
      </w:r>
    </w:p>
    <w:p>
      <w:r>
        <w:rPr>
          <w:color w:val="555555"/>
          <w:sz w:val="18"/>
        </w:rPr>
        <w:t xml:space="preserve">Stand: 07.03.2023 (konsolidierte Textfassung, kein amtliches Inkrafttretensdatum)</w:t>
      </w:r>
    </w:p>
    <w:p>
      <w:r>
        <w:t xml:space="preserve">(1) Das Vertretungsorgan der übertragenden Gesellschaft erstellt einen Spaltungsbericht. § 309 Absatz 1 bis 5 und § 310 Absatz 1 und 3 gelten für den Spaltungsbericht entsprechend.</w:t>
      </w:r>
    </w:p>
    <w:p>
      <w:r>
        <w:t xml:space="preserve">(2) In den Fällen des § 8 Absatz 3 Satz 1, 2 und 3 Nummer 2 und des § 135 Absatz 3 ist der Bericht für die Anteilsinhaber nicht erforderlich. Der Bericht für die Arbeitnehmer ist nicht erforderlich, wenn die übertragende Gesellschaft und ihre etwaigen Tochtergesellschaften keine anderen Arbeitnehmer haben als diejenigen, die dem Vertretungsorgan angehören. Der Spaltungsbericht ist insgesamt entbehrlich, wenn die Voraussetzungen der Sätze 1 und 2 vorliegen.</w:t>
      </w:r>
    </w:p>
    <w:p>
      <w:r>
        <w:rPr>
          <w:color w:val="555555"/>
          <w:sz w:val="17"/>
        </w:rPr>
        <w:t xml:space="preserve">Zitiervorschlag: § 324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