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323 UmwG 1995 — Bekanntmachung des Spaltungsplans</w:t>
      </w:r>
    </w:p>
    <w:p>
      <w:r>
        <w:rPr>
          <w:color w:val="555555"/>
          <w:sz w:val="18"/>
        </w:rPr>
        <w:t xml:space="preserve">Umwandlungsgesetz</w:t>
      </w:r>
    </w:p>
    <w:p>
      <w:r>
        <w:rPr>
          <w:color w:val="555555"/>
          <w:sz w:val="18"/>
        </w:rPr>
        <w:t xml:space="preserve">Stand: 07.03.2023 (konsolidierte Textfassung, kein amtliches Inkrafttretensdatum)</w:t>
      </w:r>
    </w:p>
    <w:p>
      <w:r>
        <w:t xml:space="preserve">§ 308 Absatz 1 gilt für die Bekanntmachung des Spaltungsplans oder seines Entwurfs entsprechend.</w:t>
      </w:r>
    </w:p>
    <w:p>
      <w:r>
        <w:rPr>
          <w:color w:val="555555"/>
          <w:sz w:val="17"/>
        </w:rPr>
        <w:t xml:space="preserve">Zitiervorschlag: § 323 UmwG 1995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https://recht.nulegal.eu/gesetze/UmwG%201995/323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