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 UmwG 1995 — Annahme des Angebots</w:t>
      </w:r>
    </w:p>
    <w:p>
      <w:r>
        <w:rPr>
          <w:color w:val="555555"/>
          <w:sz w:val="18"/>
        </w:rPr>
        <w:t xml:space="preserve">Umwandlungsgesetz</w:t>
      </w:r>
    </w:p>
    <w:p>
      <w:r>
        <w:rPr>
          <w:color w:val="555555"/>
          <w:sz w:val="18"/>
        </w:rPr>
        <w:t xml:space="preserve">Stand: 10.06.2019 (konsolidierte Textfassung, kein amtliches Inkrafttretensdatum)</w:t>
      </w:r>
    </w:p>
    <w:p>
      <w:r>
        <w:t xml:space="preserve">Das Angebot nach § 29 kann nur binnen zwei Monaten nach dem Tage angenommen werden, an dem die Eintragung der Verschmelzung in das Register des Sitzes des übernehmenden Rechtsträgers nach § 19 Abs. 3 bekannt gemacht worden ist. Ist nach § 34 ein Antrag auf Bestimmung der Barabfindung durch das Gericht gestellt worden, so kann das Angebot binnen zwei Monaten nach dem Tage angenommen werden, an dem die Entscheidung im Bundesanzeiger bekanntgemacht worden ist.</w:t>
      </w:r>
    </w:p>
    <w:p>
      <w:r>
        <w:rPr>
          <w:color w:val="555555"/>
          <w:sz w:val="17"/>
        </w:rPr>
        <w:t xml:space="preserve">Zitiervorschlag: § 31 UmwG 1995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https://recht.nulegal.eu/gesetze/UmwG%201995/31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