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302 UmwG 1995 — Anzuwendende Vorschriften</w:t>
      </w:r>
    </w:p>
    <w:p>
      <w:r>
        <w:rPr>
          <w:color w:val="555555"/>
          <w:sz w:val="18"/>
        </w:rPr>
        <w:t xml:space="preserve">Umwandlungsgesetz</w:t>
      </w:r>
    </w:p>
    <w:p>
      <w:r>
        <w:rPr>
          <w:color w:val="555555"/>
          <w:sz w:val="18"/>
        </w:rPr>
        <w:t xml:space="preserve">Stand: 10.06.2019 (konsolidierte Textfassung, kein amtliches Inkrafttretensdatum)</w:t>
      </w:r>
    </w:p>
    <w:p>
      <w:r>
        <w:t xml:space="preserve">Die Vorschriften des Ersten Teils sind auf den Formwechsel nur anzuwenden, soweit sich aus dem für die formwechselnde Körperschaft oder Anstalt maßgebenden Bundes- oder Landesrecht nichts anderes ergibt. Nach diesem Recht richtet es sich insbesondere, auf welche Weise der Gesellschaftsvertrag oder die Satzung der Gesellschaft neuer Rechtsform abgeschlossen oder festgestellt wird, wer an dieser Gesellschaft als Anteilsinhaber beteiligt wird und welche Person oder welche Personen den Gründern der Gesellschaft gleichstehen; die §§ 28 und 29 des Aktiengesetzes sind nicht anzuwenden.</w:t>
      </w:r>
    </w:p>
    <w:p>
      <w:r>
        <w:rPr>
          <w:color w:val="555555"/>
          <w:sz w:val="17"/>
        </w:rPr>
        <w:t xml:space="preserve">Zitiervorschlag: § 302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https://recht.nulegal.eu/gesetze/UmwG%201995/302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302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