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UmwG 1995 — Inhalt des Anspruchs auf Barabfindung und Prüfung der Barabfindung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Barabfindung muß die Verhältnisse des übertragenden Rechtsträgers im Zeitpunkt der Beschlußfassung über die Verschmelzung berücksichtigen. § 15 Abs. 2 ist auf die Barabfindung entsprechend anzuwenden.</w:t>
      </w:r>
    </w:p>
    <w:p>
      <w:r>
        <w:t xml:space="preserve">(2) Die Angemessenheit einer anzubietenden Barabfindung ist stets durch Verschmelzungsprüfer zu prüfen. Die §§ 10 bis 12 sind entsprechend anzuwenden. Die Berechtigten können auf die Prüfung oder den Prüfungsbericht verzichten; die Verzichtserklärungen sind notariell zu beurkunden.</w:t>
      </w:r>
    </w:p>
    <w:p>
      <w:r>
        <w:rPr>
          <w:color w:val="555555"/>
          <w:sz w:val="17"/>
        </w:rPr>
        <w:t xml:space="preserve">Zitiervorschlag: § 30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