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UmwG 1995 — Verschmelzungsfähige Rechtsträger</w:t>
      </w:r>
    </w:p>
    <w:p>
      <w:r>
        <w:rPr>
          <w:color w:val="555555"/>
          <w:sz w:val="18"/>
        </w:rPr>
        <w:t xml:space="preserve">Umwandlungsgesetz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An Verschmelzungen können als übertragende, übernehmende oder neue Rechtsträger beteiligt sein:</w:t>
      </w:r>
    </w:p>
    <w:p>
      <w:pPr>
        <w:ind w:left="420"/>
      </w:pPr>
      <w:r>
        <w:t xml:space="preserve">1. eingetragene Gesellschaften bürgerlichen Rechts, Personenhandelsgesellschaften (offene Handelsgesellschaften, Kommanditgesellschaften) und Partnerschaftsgesellschaften;</w:t>
      </w:r>
    </w:p>
    <w:p>
      <w:pPr>
        <w:ind w:left="420"/>
      </w:pPr>
      <w:r>
        <w:t xml:space="preserve">2. Kapitalgesellschaften (Gesellschaften mit beschränkter Haftung, Aktiengesellschaften, Kommanditgesellschaften auf Aktien);</w:t>
      </w:r>
    </w:p>
    <w:p>
      <w:pPr>
        <w:ind w:left="420"/>
      </w:pPr>
      <w:r>
        <w:t xml:space="preserve">3. eingetragene Genossenschaften;</w:t>
      </w:r>
    </w:p>
    <w:p>
      <w:pPr>
        <w:ind w:left="420"/>
      </w:pPr>
      <w:r>
        <w:t xml:space="preserve">4. eingetragene Vereine (§ 21 des Bürgerlichen Gesetzbuchs);</w:t>
      </w:r>
    </w:p>
    <w:p>
      <w:pPr>
        <w:ind w:left="420"/>
      </w:pPr>
      <w:r>
        <w:t xml:space="preserve">5. genossenschaftliche Prüfungsverbände;</w:t>
      </w:r>
    </w:p>
    <w:p>
      <w:pPr>
        <w:ind w:left="420"/>
      </w:pPr>
      <w:r>
        <w:t xml:space="preserve">6. Versicherungsvereine auf Gegenseitigkeit.</w:t>
      </w:r>
    </w:p>
    <w:p>
      <w:r>
        <w:t xml:space="preserve">(2) An einer Verschmelzung können ferner beteiligt sein:</w:t>
      </w:r>
    </w:p>
    <w:p>
      <w:pPr>
        <w:ind w:left="420"/>
      </w:pPr>
      <w:r>
        <w:t xml:space="preserve">1. wirtschaftliche Vereine (§ 22 des Bürgerlichen Gesetzbuchs), soweit sie übertragender Rechtsträger sind;</w:t>
      </w:r>
    </w:p>
    <w:p>
      <w:pPr>
        <w:ind w:left="420"/>
      </w:pPr>
      <w:r>
        <w:t xml:space="preserve">2. natürliche Personen, die als Alleingesellschafter einer Kapitalgesellschaft deren Vermögen übernehmen.</w:t>
      </w:r>
    </w:p>
    <w:p>
      <w:r>
        <w:t xml:space="preserve">(3) An der Verschmelzung können als übertragende Rechtsträger auch aufgelöste Rechtsträger beteiligt sein, wenn die Fortsetzung dieser Rechtsträger beschlossen werden könnte.</w:t>
      </w:r>
    </w:p>
    <w:p>
      <w:r>
        <w:t xml:space="preserve">(4) Die Verschmelzung kann sowohl unter gleichzeitiger Beteiligung von Rechtsträgern derselben Rechtsform als auch von Rechtsträgern unterschiedlicher Rechtsform erfolgen, soweit nicht etwas anderes bestimmt ist.</w:t>
      </w:r>
    </w:p>
    <w:p>
      <w:r>
        <w:rPr>
          <w:color w:val="555555"/>
          <w:sz w:val="17"/>
        </w:rPr>
        <w:t xml:space="preserve">Zitiervorschlag: § 3 UmwG 1995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https://recht.nulegal.eu/gesetze/UmwG%201995/3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